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4" w14:textId="77777777" w:rsidR="00A4280D" w:rsidRDefault="00A4280D">
      <w:pPr>
        <w:shd w:val="clear" w:color="auto" w:fill="FFFFFF"/>
        <w:spacing w:line="240" w:lineRule="auto"/>
        <w:ind w:hanging="2"/>
        <w:jc w:val="right"/>
        <w:rPr>
          <w:rFonts w:ascii="Times New Roman" w:eastAsia="Times New Roman" w:hAnsi="Times New Roman" w:cs="Times New Roman"/>
          <w:b/>
          <w:sz w:val="26"/>
          <w:szCs w:val="26"/>
        </w:rPr>
      </w:pPr>
    </w:p>
    <w:p w14:paraId="00000015" w14:textId="77777777" w:rsidR="00A4280D" w:rsidRDefault="000A12B5">
      <w:pPr>
        <w:shd w:val="clear" w:color="auto" w:fill="FFFFFF"/>
        <w:spacing w:line="240" w:lineRule="auto"/>
        <w:ind w:hanging="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ЗАТВЕРДЖЕНО</w:t>
      </w:r>
    </w:p>
    <w:p w14:paraId="00000016" w14:textId="68D6636F" w:rsidR="00A4280D" w:rsidRDefault="000A12B5">
      <w:pPr>
        <w:shd w:val="clear" w:color="auto" w:fill="FFFFFF"/>
        <w:spacing w:line="240" w:lineRule="auto"/>
        <w:ind w:hanging="2"/>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Наказом </w:t>
      </w:r>
      <w:r w:rsidR="002E4E62">
        <w:rPr>
          <w:rFonts w:ascii="Times New Roman" w:eastAsia="Times New Roman" w:hAnsi="Times New Roman" w:cs="Times New Roman"/>
          <w:sz w:val="26"/>
          <w:szCs w:val="26"/>
        </w:rPr>
        <w:t>___________________</w:t>
      </w:r>
    </w:p>
    <w:p w14:paraId="00000017" w14:textId="77777777" w:rsidR="00A4280D" w:rsidRDefault="000A12B5">
      <w:pPr>
        <w:shd w:val="clear" w:color="auto" w:fill="FFFFFF"/>
        <w:spacing w:after="0" w:line="240" w:lineRule="auto"/>
        <w:ind w:hanging="2"/>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від «___»____20___р. №______</w:t>
      </w:r>
    </w:p>
    <w:p w14:paraId="00000018" w14:textId="77777777" w:rsidR="00A4280D" w:rsidRDefault="00A4280D">
      <w:pPr>
        <w:shd w:val="clear" w:color="auto" w:fill="FFFFFF"/>
        <w:spacing w:after="0" w:line="240" w:lineRule="auto"/>
        <w:ind w:right="450" w:hanging="2"/>
        <w:jc w:val="right"/>
        <w:rPr>
          <w:rFonts w:ascii="Times New Roman" w:eastAsia="Times New Roman" w:hAnsi="Times New Roman" w:cs="Times New Roman"/>
          <w:sz w:val="26"/>
          <w:szCs w:val="26"/>
        </w:rPr>
      </w:pPr>
    </w:p>
    <w:p w14:paraId="00000019" w14:textId="77777777" w:rsidR="00A4280D" w:rsidRDefault="00A4280D">
      <w:pPr>
        <w:shd w:val="clear" w:color="auto" w:fill="FFFFFF"/>
        <w:spacing w:after="0" w:line="240" w:lineRule="auto"/>
        <w:ind w:right="450" w:hanging="2"/>
        <w:jc w:val="right"/>
        <w:rPr>
          <w:rFonts w:ascii="Times New Roman" w:eastAsia="Times New Roman" w:hAnsi="Times New Roman" w:cs="Times New Roman"/>
          <w:sz w:val="26"/>
          <w:szCs w:val="26"/>
        </w:rPr>
      </w:pPr>
    </w:p>
    <w:p w14:paraId="0000001A" w14:textId="77777777" w:rsidR="00A4280D" w:rsidRDefault="000A12B5">
      <w:pPr>
        <w:shd w:val="clear" w:color="auto" w:fill="FFFFFF"/>
        <w:spacing w:line="240" w:lineRule="auto"/>
        <w:ind w:hanging="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МЕТОДИКА</w:t>
      </w:r>
    </w:p>
    <w:p w14:paraId="0000001B" w14:textId="013EB997" w:rsidR="00A4280D" w:rsidRDefault="000A12B5">
      <w:pPr>
        <w:shd w:val="clear" w:color="auto" w:fill="FFFFFF"/>
        <w:spacing w:line="240" w:lineRule="auto"/>
        <w:ind w:hanging="2"/>
        <w:jc w:val="center"/>
        <w:rPr>
          <w:rFonts w:ascii="Times New Roman" w:eastAsia="Times New Roman" w:hAnsi="Times New Roman" w:cs="Times New Roman"/>
          <w:b/>
          <w:sz w:val="26"/>
          <w:szCs w:val="26"/>
        </w:rPr>
      </w:pPr>
      <w:bookmarkStart w:id="0" w:name="_heading=h.30j0zll" w:colFirst="0" w:colLast="0"/>
      <w:bookmarkEnd w:id="0"/>
      <w:r>
        <w:rPr>
          <w:rFonts w:ascii="Times New Roman" w:eastAsia="Times New Roman" w:hAnsi="Times New Roman" w:cs="Times New Roman"/>
          <w:b/>
          <w:sz w:val="26"/>
          <w:szCs w:val="26"/>
        </w:rPr>
        <w:t>розробки тендерної документації та проведення конкурентних процедур закупівель товарів</w:t>
      </w:r>
      <w:r w:rsidR="002E4E62">
        <w:rPr>
          <w:rFonts w:ascii="Times New Roman" w:eastAsia="Times New Roman" w:hAnsi="Times New Roman" w:cs="Times New Roman"/>
          <w:b/>
          <w:sz w:val="26"/>
          <w:szCs w:val="26"/>
        </w:rPr>
        <w:t xml:space="preserve">, послуг, робіт з питань енергоефективності </w:t>
      </w:r>
      <w:r>
        <w:rPr>
          <w:rFonts w:ascii="Times New Roman" w:eastAsia="Times New Roman" w:hAnsi="Times New Roman" w:cs="Times New Roman"/>
          <w:b/>
          <w:sz w:val="26"/>
          <w:szCs w:val="26"/>
        </w:rPr>
        <w:t xml:space="preserve"> на </w:t>
      </w:r>
      <w:r w:rsidR="002E4E62">
        <w:rPr>
          <w:rFonts w:ascii="Times New Roman" w:eastAsia="Times New Roman" w:hAnsi="Times New Roman" w:cs="Times New Roman"/>
          <w:b/>
          <w:sz w:val="26"/>
          <w:szCs w:val="26"/>
        </w:rPr>
        <w:t>_______________________</w:t>
      </w:r>
    </w:p>
    <w:p w14:paraId="0000001C" w14:textId="77777777" w:rsidR="00A4280D" w:rsidRDefault="000A12B5">
      <w:pPr>
        <w:pBdr>
          <w:top w:val="nil"/>
          <w:left w:val="nil"/>
          <w:bottom w:val="nil"/>
          <w:right w:val="nil"/>
          <w:between w:val="nil"/>
        </w:pBdr>
        <w:spacing w:before="48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Загальні положення</w:t>
      </w:r>
    </w:p>
    <w:p w14:paraId="0000001D" w14:textId="0D8B57CE"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 xml:space="preserve">Методика розробки тендерної документації та проведення конкурентних процедур закупівель товарів на </w:t>
      </w:r>
      <w:r w:rsidR="002E4E62">
        <w:rPr>
          <w:rFonts w:ascii="Times New Roman" w:eastAsia="Times New Roman" w:hAnsi="Times New Roman" w:cs="Times New Roman"/>
          <w:sz w:val="26"/>
          <w:szCs w:val="26"/>
        </w:rPr>
        <w:t>___________________</w:t>
      </w:r>
      <w:r>
        <w:rPr>
          <w:rFonts w:ascii="Times New Roman" w:eastAsia="Times New Roman" w:hAnsi="Times New Roman" w:cs="Times New Roman"/>
          <w:sz w:val="26"/>
          <w:szCs w:val="26"/>
        </w:rPr>
        <w:t xml:space="preserve"> (далі - Методика) визначає правила та принципи підготовки та складання тендерної документації для проведення конкурентних процедур закупівель на</w:t>
      </w:r>
      <w:r w:rsidR="002E4E62">
        <w:rPr>
          <w:rFonts w:ascii="Times New Roman" w:eastAsia="Times New Roman" w:hAnsi="Times New Roman" w:cs="Times New Roman"/>
          <w:sz w:val="26"/>
          <w:szCs w:val="26"/>
        </w:rPr>
        <w:t xml:space="preserve"> ________________</w:t>
      </w:r>
      <w:r>
        <w:rPr>
          <w:rFonts w:ascii="Times New Roman" w:eastAsia="Times New Roman" w:hAnsi="Times New Roman" w:cs="Times New Roman"/>
          <w:sz w:val="26"/>
          <w:szCs w:val="26"/>
        </w:rPr>
        <w:t xml:space="preserve"> (далі – Замовник).</w:t>
      </w:r>
    </w:p>
    <w:p w14:paraId="0000001E" w14:textId="086FD20D"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 xml:space="preserve">Методика обов’язкова до застосування при підготовці та складанні тендерної документації уповноваженими особами та посадовими особами Замовника, що приймають участь у процесах організації та проведення конкурентних процедур закупівель </w:t>
      </w:r>
      <w:r w:rsidR="002E4E62">
        <w:rPr>
          <w:rFonts w:ascii="Times New Roman" w:eastAsia="Times New Roman" w:hAnsi="Times New Roman" w:cs="Times New Roman"/>
          <w:sz w:val="26"/>
          <w:szCs w:val="26"/>
        </w:rPr>
        <w:t xml:space="preserve">з </w:t>
      </w:r>
      <w:proofErr w:type="spellStart"/>
      <w:r w:rsidR="002E4E62">
        <w:rPr>
          <w:rFonts w:ascii="Times New Roman" w:eastAsia="Times New Roman" w:hAnsi="Times New Roman" w:cs="Times New Roman"/>
          <w:sz w:val="26"/>
          <w:szCs w:val="26"/>
        </w:rPr>
        <w:t>птань</w:t>
      </w:r>
      <w:proofErr w:type="spellEnd"/>
      <w:r w:rsidR="002E4E62">
        <w:rPr>
          <w:rFonts w:ascii="Times New Roman" w:eastAsia="Times New Roman" w:hAnsi="Times New Roman" w:cs="Times New Roman"/>
          <w:sz w:val="26"/>
          <w:szCs w:val="26"/>
        </w:rPr>
        <w:t xml:space="preserve"> енергоефективності </w:t>
      </w:r>
      <w:r>
        <w:rPr>
          <w:rFonts w:ascii="Times New Roman" w:eastAsia="Times New Roman" w:hAnsi="Times New Roman" w:cs="Times New Roman"/>
          <w:sz w:val="26"/>
          <w:szCs w:val="26"/>
        </w:rPr>
        <w:t xml:space="preserve">відповідно до Закону України </w:t>
      </w:r>
      <w:r w:rsidR="002E4E62">
        <w:rPr>
          <w:rFonts w:ascii="Times New Roman" w:eastAsia="Times New Roman" w:hAnsi="Times New Roman" w:cs="Times New Roman"/>
          <w:sz w:val="26"/>
          <w:szCs w:val="26"/>
        </w:rPr>
        <w:t>«</w:t>
      </w:r>
      <w:r>
        <w:rPr>
          <w:rFonts w:ascii="Times New Roman" w:eastAsia="Times New Roman" w:hAnsi="Times New Roman" w:cs="Times New Roman"/>
          <w:sz w:val="26"/>
          <w:szCs w:val="26"/>
        </w:rPr>
        <w:t>Про публічні закупівлі</w:t>
      </w:r>
      <w:r w:rsidR="002E4E6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(далі - Закон) та інших нормативно-правових документів, що регулюють сферу публічних закупівель.</w:t>
      </w:r>
    </w:p>
    <w:p w14:paraId="0000001F" w14:textId="002987C3"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Методика, розроблена з урахуванням положень Закону та «Особливостей здійснення публічних закупівель товарів, робіт і послуг для замовників, передбачених Законом,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(зі змінами) (далі – Особливості)</w:t>
      </w:r>
      <w:r w:rsidR="002E4E62">
        <w:rPr>
          <w:rFonts w:ascii="Times New Roman" w:eastAsia="Times New Roman" w:hAnsi="Times New Roman" w:cs="Times New Roman"/>
          <w:sz w:val="26"/>
          <w:szCs w:val="26"/>
        </w:rPr>
        <w:t xml:space="preserve"> та </w:t>
      </w:r>
      <w:r w:rsidR="002E4E62" w:rsidRPr="00FF3ACE">
        <w:rPr>
          <w:rFonts w:ascii="Times New Roman" w:eastAsia="Times New Roman" w:hAnsi="Times New Roman" w:cs="Times New Roman"/>
          <w:sz w:val="26"/>
          <w:szCs w:val="26"/>
        </w:rPr>
        <w:t>_____</w:t>
      </w:r>
      <w:r w:rsidR="002E4E6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з метою дотримання Замовником принципів максимальної економії, ефективності та пропорційності, добросовісної конкуренції, відкритості та прозорості на всіх стадіях закупівель, недискримінації учасників та рівного ставлення до них, об'єктивного та неупередженого визначення переможця процедури закупівлі та запобігання корупційним діям і зловживанням. </w:t>
      </w:r>
    </w:p>
    <w:p w14:paraId="00000020" w14:textId="0D775E64"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Ця Методика базується на комплексному аналізі проблематики під час здійснення закупівель товарів та послуг</w:t>
      </w:r>
      <w:r w:rsidR="002E4E62">
        <w:rPr>
          <w:rFonts w:ascii="Times New Roman" w:eastAsia="Times New Roman" w:hAnsi="Times New Roman" w:cs="Times New Roman"/>
          <w:sz w:val="26"/>
          <w:szCs w:val="26"/>
        </w:rPr>
        <w:t xml:space="preserve"> з питань енергоефективності</w:t>
      </w:r>
      <w:r>
        <w:rPr>
          <w:rFonts w:ascii="Times New Roman" w:eastAsia="Times New Roman" w:hAnsi="Times New Roman" w:cs="Times New Roman"/>
          <w:sz w:val="26"/>
          <w:szCs w:val="26"/>
        </w:rPr>
        <w:t xml:space="preserve"> і спрямована на мінімізацію потенційних ризиків, пов’язаних з неефективністю та непрозорістю закупівель, недобросовісною конкуренцією, дискримінаційними кваліфікаційними вимогами.</w:t>
      </w:r>
    </w:p>
    <w:p w14:paraId="00000024" w14:textId="349A391A"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Для вибору процедури закупівлі уповноважена особа керується положеннями Закону та Особливостей.</w:t>
      </w:r>
    </w:p>
    <w:p w14:paraId="00000026" w14:textId="77777777" w:rsidR="00A4280D" w:rsidRDefault="000A12B5">
      <w:pPr>
        <w:pBdr>
          <w:top w:val="nil"/>
          <w:left w:val="nil"/>
          <w:bottom w:val="nil"/>
          <w:right w:val="nil"/>
          <w:between w:val="nil"/>
        </w:pBdr>
        <w:spacing w:before="48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Підготовка та складання тендерної документації</w:t>
      </w:r>
    </w:p>
    <w:p w14:paraId="00000027" w14:textId="3895A868"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 xml:space="preserve">Відповідальною за складання та затвердження тендерної документації на </w:t>
      </w:r>
      <w:r w:rsidR="002E4E62">
        <w:rPr>
          <w:rFonts w:ascii="Times New Roman" w:eastAsia="Times New Roman" w:hAnsi="Times New Roman" w:cs="Times New Roman"/>
          <w:sz w:val="26"/>
          <w:szCs w:val="26"/>
        </w:rPr>
        <w:t>___________________</w:t>
      </w:r>
      <w:r>
        <w:rPr>
          <w:rFonts w:ascii="Times New Roman" w:eastAsia="Times New Roman" w:hAnsi="Times New Roman" w:cs="Times New Roman"/>
          <w:sz w:val="26"/>
          <w:szCs w:val="26"/>
        </w:rPr>
        <w:t xml:space="preserve"> є уповноважена особа, яка визначена замовником відповідальною за організацію та проведення відповідної процедури закупівлі.</w:t>
      </w:r>
    </w:p>
    <w:p w14:paraId="00000028" w14:textId="787601D4"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2.2.</w:t>
      </w:r>
      <w:r>
        <w:rPr>
          <w:rFonts w:ascii="Times New Roman" w:eastAsia="Times New Roman" w:hAnsi="Times New Roman" w:cs="Times New Roman"/>
          <w:sz w:val="26"/>
          <w:szCs w:val="26"/>
        </w:rPr>
        <w:tab/>
        <w:t xml:space="preserve"> Для підготовки тендерної документації та вимог до предмета закупівлі за рішенням Замовника можуть залучатися уповноважені особи, </w:t>
      </w:r>
      <w:r w:rsidR="002E4E62">
        <w:rPr>
          <w:rFonts w:ascii="Times New Roman" w:eastAsia="Times New Roman" w:hAnsi="Times New Roman" w:cs="Times New Roman"/>
          <w:sz w:val="26"/>
          <w:szCs w:val="26"/>
        </w:rPr>
        <w:t xml:space="preserve">відповідальних працівник з питань енергоефективності та </w:t>
      </w:r>
      <w:r>
        <w:rPr>
          <w:rFonts w:ascii="Times New Roman" w:eastAsia="Times New Roman" w:hAnsi="Times New Roman" w:cs="Times New Roman"/>
          <w:sz w:val="26"/>
          <w:szCs w:val="26"/>
        </w:rPr>
        <w:t xml:space="preserve">інші працівники замовника шляхом утворення </w:t>
      </w:r>
      <w:r w:rsidR="00F558D4">
        <w:rPr>
          <w:rFonts w:ascii="Times New Roman" w:eastAsia="Times New Roman" w:hAnsi="Times New Roman" w:cs="Times New Roman"/>
          <w:sz w:val="26"/>
          <w:szCs w:val="26"/>
        </w:rPr>
        <w:t>робочої групи.</w:t>
      </w:r>
      <w:r>
        <w:rPr>
          <w:rFonts w:ascii="Times New Roman" w:eastAsia="Times New Roman" w:hAnsi="Times New Roman" w:cs="Times New Roman"/>
          <w:sz w:val="26"/>
          <w:szCs w:val="26"/>
        </w:rPr>
        <w:t xml:space="preserve"> </w:t>
      </w:r>
    </w:p>
    <w:p w14:paraId="00000029" w14:textId="3D842124"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bookmarkStart w:id="1" w:name="_heading=h.1fob9te" w:colFirst="0" w:colLast="0"/>
      <w:bookmarkEnd w:id="1"/>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 xml:space="preserve"> Уповноважені особи замовника складають тендерну документацію згідно з положеннями Закону, Особливостей, цієї Методики, інших нормативних актів та розпорядчих рішень Замовника.</w:t>
      </w:r>
    </w:p>
    <w:p w14:paraId="0000002A"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ab/>
        <w:t>Уповноважені особи Замовника використовують Примірну тендерну документацію для процедури закупівлі – відкриті торги (далі – Тендерна документація), що наведена у Додатку 1 до цієї Методики.</w:t>
      </w:r>
    </w:p>
    <w:p w14:paraId="0000002B"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r>
        <w:rPr>
          <w:rFonts w:ascii="Times New Roman" w:eastAsia="Times New Roman" w:hAnsi="Times New Roman" w:cs="Times New Roman"/>
          <w:sz w:val="26"/>
          <w:szCs w:val="26"/>
        </w:rPr>
        <w:tab/>
        <w:t>Тендерна документація безоплатно оприлюднюється замовником разом з оголошенням про проведення конкурентних процедур закупівель в електронній системі закупівель для загального доступу шляхом заповнення полів в електронній системі закупівель.</w:t>
      </w:r>
    </w:p>
    <w:p w14:paraId="0000002C"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Тендерна документація має містити обов’язкову інформацію, визначену статтею 22 Закону, яка оформлюється у вигляді таблиці згідно Додатку 1 до цієї Методики, та подається замовником окремим файлом з додатками. </w:t>
      </w:r>
    </w:p>
    <w:p w14:paraId="0000002D" w14:textId="369CC6EE"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w:t>
      </w:r>
      <w:r>
        <w:rPr>
          <w:rFonts w:ascii="Times New Roman" w:eastAsia="Times New Roman" w:hAnsi="Times New Roman" w:cs="Times New Roman"/>
          <w:sz w:val="26"/>
          <w:szCs w:val="26"/>
        </w:rPr>
        <w:tab/>
        <w:t>У полі 2.3. розділу 1 тендерної документації «Посадова особа замовника, уповноважена здійснювати зв'язок з учасниками» уповноваженою особою зазначається прізвище, ім'я, по батькові, посада, електронна адреса, номер телефону уповноваженої особи, яка визначена Замовником відповідальною за організацію та проведення відповідної процедури закупівлі</w:t>
      </w:r>
      <w:r w:rsidR="002E4E62">
        <w:rPr>
          <w:rFonts w:ascii="Times New Roman" w:eastAsia="Times New Roman" w:hAnsi="Times New Roman" w:cs="Times New Roman"/>
          <w:sz w:val="26"/>
          <w:szCs w:val="26"/>
        </w:rPr>
        <w:t>, а також інформація про відповідальну особа за формування технічного завдання та вимог до нього.</w:t>
      </w:r>
    </w:p>
    <w:p w14:paraId="0000002E"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w:t>
      </w:r>
      <w:r>
        <w:rPr>
          <w:rFonts w:ascii="Times New Roman" w:eastAsia="Times New Roman" w:hAnsi="Times New Roman" w:cs="Times New Roman"/>
          <w:sz w:val="26"/>
          <w:szCs w:val="26"/>
        </w:rPr>
        <w:tab/>
        <w:t>У полі 4.1. розділу 1 тендерної документації «Назва предмета закупівлі» уповноважена особа вказує інформацію відповідно до наказу Міністерства розвитку економіки, торгівлі та сільського господарства України від 15.04.2020 року № 708 «Про затвердження Порядку визначення предмета закупівлі» (із змінами) (далі – Порядок).</w:t>
      </w:r>
    </w:p>
    <w:p w14:paraId="0000002F" w14:textId="10F83062"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bookmarkStart w:id="2" w:name="_heading=h.2et92p0" w:colFirst="0" w:colLast="0"/>
      <w:bookmarkEnd w:id="2"/>
      <w:r>
        <w:rPr>
          <w:rFonts w:ascii="Times New Roman" w:eastAsia="Times New Roman" w:hAnsi="Times New Roman" w:cs="Times New Roman"/>
          <w:sz w:val="26"/>
          <w:szCs w:val="26"/>
        </w:rPr>
        <w:t>2.8.</w:t>
      </w:r>
      <w:r>
        <w:rPr>
          <w:rFonts w:ascii="Times New Roman" w:eastAsia="Times New Roman" w:hAnsi="Times New Roman" w:cs="Times New Roman"/>
          <w:sz w:val="26"/>
          <w:szCs w:val="26"/>
        </w:rPr>
        <w:tab/>
        <w:t>У полі 4.2. розділу 1 тендерної документації «Опис окремої частини (частин) предмета закупівлі (лота), щодо якої можуть бути подані тендерні пропозиції» уповноважена особа вказує інформацію про код згідно з Єдиним закупівельним словником та назву окремої частини (частин) предмета закупівлі (лота), або зазначає: «Поділ предмету закупівлі на лоти не передбачено».</w:t>
      </w:r>
    </w:p>
    <w:p w14:paraId="00000030" w14:textId="37887539"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ab/>
        <w:t>У полі 4.3. розділу 1 тендерної документації «Кількість товару та місце його поставки або місце, де повинні бути виконані роботи чи надані послуги, їх обсяги» уповноважена особа вказує інформація, з урахуванням вимог п. 4 Особливостей), або зазначає: «Згідно з Додатком 4 до цієї тендерної документації».</w:t>
      </w:r>
    </w:p>
    <w:p w14:paraId="00000031" w14:textId="61F16439"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bookmarkStart w:id="3" w:name="_heading=h.tyjcwt" w:colFirst="0" w:colLast="0"/>
      <w:bookmarkEnd w:id="3"/>
      <w:r>
        <w:rPr>
          <w:rFonts w:ascii="Times New Roman" w:eastAsia="Times New Roman" w:hAnsi="Times New Roman" w:cs="Times New Roman"/>
          <w:sz w:val="26"/>
          <w:szCs w:val="26"/>
        </w:rPr>
        <w:t>2.10.</w:t>
      </w:r>
      <w:r>
        <w:rPr>
          <w:rFonts w:ascii="Times New Roman" w:eastAsia="Times New Roman" w:hAnsi="Times New Roman" w:cs="Times New Roman"/>
          <w:sz w:val="26"/>
          <w:szCs w:val="26"/>
        </w:rPr>
        <w:tab/>
        <w:t>У полі 4.4. розділу 1 тендерної документації «Строк поставки товарів (надання послуг, виконання робіт)» уповноваженою особою вказується інформація про строк поставки товару, або зазначає: «Згідно з Додатком 4 до цієї тендерної документації».</w:t>
      </w:r>
    </w:p>
    <w:p w14:paraId="00000032" w14:textId="049EBFF8"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bookmarkStart w:id="4" w:name="_heading=h.3dy6vkm" w:colFirst="0" w:colLast="0"/>
      <w:bookmarkEnd w:id="4"/>
      <w:r>
        <w:rPr>
          <w:rFonts w:ascii="Times New Roman" w:eastAsia="Times New Roman" w:hAnsi="Times New Roman" w:cs="Times New Roman"/>
          <w:sz w:val="26"/>
          <w:szCs w:val="26"/>
        </w:rPr>
        <w:t>2.11. У полі 4.5. розділу 1 тендерної документації «Очікувана вартість» уповноваженою особою вказується інформація про очікувану вартість предмета закупівлі.</w:t>
      </w:r>
    </w:p>
    <w:p w14:paraId="00000033" w14:textId="5F5B3A68" w:rsidR="00A4280D" w:rsidRDefault="000A12B5" w:rsidP="00F558D4">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2.12.</w:t>
      </w:r>
      <w:r>
        <w:rPr>
          <w:rFonts w:ascii="Times New Roman" w:eastAsia="Times New Roman" w:hAnsi="Times New Roman" w:cs="Times New Roman"/>
          <w:sz w:val="26"/>
          <w:szCs w:val="26"/>
        </w:rPr>
        <w:tab/>
        <w:t xml:space="preserve">У полі 2 розділу 3 тендерної документації «Розмір та умови надання забезпечення тендерних пропозицій» уповноваженою особою вказується вимога щодо надання учасниками процедури закупівлі забезпечення тендерної пропозиції, оформленої відповідно до вимог Положення про порядок здійснення банками операцій за гарантіями в національній та </w:t>
      </w:r>
      <w:r>
        <w:rPr>
          <w:rFonts w:ascii="Times New Roman" w:eastAsia="Times New Roman" w:hAnsi="Times New Roman" w:cs="Times New Roman"/>
          <w:sz w:val="26"/>
          <w:szCs w:val="26"/>
        </w:rPr>
        <w:lastRenderedPageBreak/>
        <w:t>іноземних валютах, затвердженого постановою Правління Національного банку України від 15.12.2004 року № 639 (зі змінами), та наказу Міністерства розвитку економіки, торгівлі та сільського господарства від 14.12.2020 року № 2628 «Про затвердження форми і вимог до забезпечення т</w:t>
      </w:r>
      <w:r w:rsidR="00F558D4">
        <w:rPr>
          <w:rFonts w:ascii="Times New Roman" w:eastAsia="Times New Roman" w:hAnsi="Times New Roman" w:cs="Times New Roman"/>
          <w:sz w:val="26"/>
          <w:szCs w:val="26"/>
        </w:rPr>
        <w:t>ендерної пропозиції/пропозиції»</w:t>
      </w:r>
      <w:r>
        <w:rPr>
          <w:rFonts w:ascii="Times New Roman" w:eastAsia="Times New Roman" w:hAnsi="Times New Roman" w:cs="Times New Roman"/>
          <w:sz w:val="26"/>
          <w:szCs w:val="26"/>
        </w:rPr>
        <w:t xml:space="preserve">. </w:t>
      </w:r>
    </w:p>
    <w:p w14:paraId="60323768" w14:textId="43B276E1"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2.12.1. </w:t>
      </w:r>
      <w:r w:rsidRPr="00573F88">
        <w:rPr>
          <w:rFonts w:ascii="Times New Roman" w:eastAsia="Times New Roman" w:hAnsi="Times New Roman" w:cs="Times New Roman"/>
          <w:sz w:val="26"/>
          <w:szCs w:val="26"/>
        </w:rPr>
        <w:t>Забезпечення тендерної пропозиції при закупівлі товарів чи послуг у грошовому вираженні встановлюється відповідно до Закону. Розмір забезпечення тендерної пропозиції у грошовому виразі встановлюється у розмірі:</w:t>
      </w:r>
    </w:p>
    <w:p w14:paraId="01848539"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3 % відсотка очікуваної вартості закупівлі - якщо вартість предмета закупівлі є меншою ніж 5 млн гривень;</w:t>
      </w:r>
    </w:p>
    <w:p w14:paraId="53F79986"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2 % відсоток очікуваної вартості закупівлі - якщо вартість предмета закупівлі становить або перевищує 5 млн гривень та є меншою ніж 20 млн гривень;</w:t>
      </w:r>
    </w:p>
    <w:p w14:paraId="5CC97DE6"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1 % відсотка очікуваної вартості закупівлі - якщо вартість предмета закупівлі становить або перевищує 20 млн гривень.</w:t>
      </w:r>
    </w:p>
    <w:p w14:paraId="38EFCC27" w14:textId="50DAC31B"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 xml:space="preserve">Якщо вартість предмета закупівлі товару є меншою ніж </w:t>
      </w:r>
      <w:r>
        <w:rPr>
          <w:rFonts w:ascii="Times New Roman" w:eastAsia="Times New Roman" w:hAnsi="Times New Roman" w:cs="Times New Roman"/>
          <w:sz w:val="26"/>
          <w:szCs w:val="26"/>
        </w:rPr>
        <w:t xml:space="preserve">1млн </w:t>
      </w:r>
      <w:r w:rsidRPr="00573F88">
        <w:rPr>
          <w:rFonts w:ascii="Times New Roman" w:eastAsia="Times New Roman" w:hAnsi="Times New Roman" w:cs="Times New Roman"/>
          <w:sz w:val="26"/>
          <w:szCs w:val="26"/>
        </w:rPr>
        <w:t xml:space="preserve">гривень, забезпечення тендерної пропозиції </w:t>
      </w:r>
      <w:r>
        <w:rPr>
          <w:rFonts w:ascii="Times New Roman" w:eastAsia="Times New Roman" w:hAnsi="Times New Roman" w:cs="Times New Roman"/>
          <w:sz w:val="26"/>
          <w:szCs w:val="26"/>
        </w:rPr>
        <w:t xml:space="preserve">може </w:t>
      </w:r>
      <w:r w:rsidRPr="00573F88">
        <w:rPr>
          <w:rFonts w:ascii="Times New Roman" w:eastAsia="Times New Roman" w:hAnsi="Times New Roman" w:cs="Times New Roman"/>
          <w:sz w:val="26"/>
          <w:szCs w:val="26"/>
        </w:rPr>
        <w:t>не вимагається або встановлюється у разі обґрунтованого рішення Замовника.</w:t>
      </w:r>
    </w:p>
    <w:p w14:paraId="6277C7B6"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2.12.2. Забезпечення тендерної пропозиції при закупівлі робіт у грошовому вираженні встановлюється відповідно до Закону. Розмір забезпечення тендерної пропозиції у грошовому виразі встановлюється у розмірі:</w:t>
      </w:r>
    </w:p>
    <w:p w14:paraId="28357F43"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0,5% відсотка очікуваної вартості закупівлі - якщо вартість предмета закупівлі становить або перевищує 1,5 млн гривень.</w:t>
      </w:r>
    </w:p>
    <w:p w14:paraId="00000038" w14:textId="30D543C5" w:rsidR="00A4280D"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 xml:space="preserve">Якщо вартість предмета закупівлі товару є меншою ніж 1,5 млн. гривень, забезпечення тендерної пропозиції не вимагається або встановлюється у разі обґрунтованого рішення Замовника. </w:t>
      </w:r>
      <w:r w:rsidR="000A12B5">
        <w:rPr>
          <w:rFonts w:ascii="Times New Roman" w:eastAsia="Times New Roman" w:hAnsi="Times New Roman" w:cs="Times New Roman"/>
          <w:sz w:val="26"/>
          <w:szCs w:val="26"/>
        </w:rPr>
        <w:t>Якщо вартість предмета закупівлі товару є меншою ніж 100 тисяч гривень, забезпечення тендерної пропозиції не вимагається.</w:t>
      </w:r>
    </w:p>
    <w:p w14:paraId="00000039" w14:textId="77777777" w:rsidR="00A4280D" w:rsidRDefault="000A12B5">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забезпечення тендерної пропозиції у грошовому виразі округлюється до сотень гривень.</w:t>
      </w:r>
    </w:p>
    <w:p w14:paraId="0000003A" w14:textId="77777777" w:rsidR="00A4280D" w:rsidRDefault="000A12B5">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Уповноважена особа не може визначати, яка конкретно установа має видавати відповідне забезпечення, а також встановлювати вимоги щодо її статутного капіталу, рейтингу та інших критеріїв.</w:t>
      </w:r>
    </w:p>
    <w:p w14:paraId="0000003B"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bookmarkStart w:id="5" w:name="_heading=h.1t3h5sf" w:colFirst="0" w:colLast="0"/>
      <w:bookmarkEnd w:id="5"/>
      <w:r>
        <w:rPr>
          <w:rFonts w:ascii="Times New Roman" w:eastAsia="Times New Roman" w:hAnsi="Times New Roman" w:cs="Times New Roman"/>
          <w:sz w:val="26"/>
          <w:szCs w:val="26"/>
        </w:rPr>
        <w:t>2.13.</w:t>
      </w:r>
      <w:r>
        <w:rPr>
          <w:rFonts w:ascii="Times New Roman" w:eastAsia="Times New Roman" w:hAnsi="Times New Roman" w:cs="Times New Roman"/>
          <w:sz w:val="26"/>
          <w:szCs w:val="26"/>
        </w:rPr>
        <w:tab/>
        <w:t>У полі 6 розділу 4 тендерної документації «Розмір, вид, строк та умови надання, повернення та неповернення забезпечення виконання договору про закупівлю» уповноваженою особою вказується  вимога щодо надання учасниками процедури закупівлі забезпечення виконання договору про закупівлю у розмірі:</w:t>
      </w:r>
    </w:p>
    <w:p w14:paraId="0000003C" w14:textId="77777777" w:rsidR="00A4280D" w:rsidRDefault="00A4280D">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p>
    <w:tbl>
      <w:tblPr>
        <w:tblStyle w:val="aff5"/>
        <w:tblW w:w="7625"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3"/>
        <w:gridCol w:w="4832"/>
      </w:tblGrid>
      <w:tr w:rsidR="00573F88" w14:paraId="335BEBBF" w14:textId="77777777">
        <w:trPr>
          <w:trHeight w:val="545"/>
        </w:trPr>
        <w:tc>
          <w:tcPr>
            <w:tcW w:w="2793" w:type="dxa"/>
            <w:vAlign w:val="center"/>
          </w:tcPr>
          <w:p w14:paraId="0000003D" w14:textId="5E623B5C" w:rsidR="00573F88" w:rsidRDefault="00573F88" w:rsidP="00573F88">
            <w:pPr>
              <w:widowControl w:val="0"/>
              <w:jc w:val="center"/>
              <w:rPr>
                <w:rFonts w:ascii="Times New Roman" w:eastAsia="Times New Roman" w:hAnsi="Times New Roman" w:cs="Times New Roman"/>
              </w:rPr>
            </w:pPr>
            <w:r>
              <w:t>% від суми договору</w:t>
            </w:r>
          </w:p>
        </w:tc>
        <w:tc>
          <w:tcPr>
            <w:tcW w:w="4832" w:type="dxa"/>
            <w:vAlign w:val="center"/>
          </w:tcPr>
          <w:p w14:paraId="0000003E" w14:textId="0FF2AB81" w:rsidR="00573F88" w:rsidRDefault="00573F88" w:rsidP="00573F88">
            <w:pPr>
              <w:widowControl w:val="0"/>
              <w:jc w:val="center"/>
              <w:rPr>
                <w:rFonts w:ascii="Times New Roman" w:eastAsia="Times New Roman" w:hAnsi="Times New Roman" w:cs="Times New Roman"/>
              </w:rPr>
            </w:pPr>
            <w:r>
              <w:t>Очікувана вартість закупівлі</w:t>
            </w:r>
          </w:p>
        </w:tc>
      </w:tr>
      <w:tr w:rsidR="00573F88" w14:paraId="686FCF9B" w14:textId="77777777">
        <w:tc>
          <w:tcPr>
            <w:tcW w:w="2793" w:type="dxa"/>
          </w:tcPr>
          <w:p w14:paraId="0000003F" w14:textId="79860858" w:rsidR="00573F88" w:rsidRDefault="00573F88" w:rsidP="00573F88">
            <w:pPr>
              <w:widowControl w:val="0"/>
              <w:jc w:val="right"/>
              <w:rPr>
                <w:rFonts w:ascii="Calibri" w:eastAsia="Calibri" w:hAnsi="Calibri" w:cs="Calibri"/>
              </w:rPr>
            </w:pPr>
            <w:r>
              <w:rPr>
                <w:rFonts w:ascii="Calibri" w:hAnsi="Calibri" w:cs="Calibri"/>
              </w:rPr>
              <w:t>5%</w:t>
            </w:r>
          </w:p>
        </w:tc>
        <w:tc>
          <w:tcPr>
            <w:tcW w:w="4832" w:type="dxa"/>
          </w:tcPr>
          <w:p w14:paraId="2B31B4DF" w14:textId="77777777" w:rsidR="00573F88" w:rsidRDefault="00573F88" w:rsidP="00573F88">
            <w:pPr>
              <w:pStyle w:val="ad"/>
              <w:spacing w:before="0"/>
              <w:jc w:val="center"/>
            </w:pPr>
            <w:r>
              <w:rPr>
                <w:rFonts w:ascii="Cambria Math" w:hAnsi="Cambria Math"/>
                <w:color w:val="000000"/>
              </w:rPr>
              <w:t>≥1,5 млн грн та &lt;2 млн грн - для робіт</w:t>
            </w:r>
          </w:p>
          <w:p w14:paraId="00000040" w14:textId="2CF4AB7A" w:rsidR="00573F88" w:rsidRDefault="00573F88" w:rsidP="00573F88">
            <w:pPr>
              <w:jc w:val="center"/>
              <w:rPr>
                <w:rFonts w:ascii="Cambria Math" w:eastAsia="Cambria Math" w:hAnsi="Cambria Math" w:cs="Cambria Math"/>
              </w:rPr>
            </w:pPr>
            <w:r>
              <w:rPr>
                <w:rFonts w:ascii="Cambria Math" w:hAnsi="Cambria Math"/>
              </w:rPr>
              <w:t>≥200 тис грн та &lt;2 млн грн - для товарів/послуг</w:t>
            </w:r>
          </w:p>
        </w:tc>
      </w:tr>
      <w:tr w:rsidR="00573F88" w14:paraId="247C699E" w14:textId="77777777">
        <w:tc>
          <w:tcPr>
            <w:tcW w:w="2793" w:type="dxa"/>
          </w:tcPr>
          <w:p w14:paraId="00000041" w14:textId="12DC8C37" w:rsidR="00573F88" w:rsidRDefault="00573F88" w:rsidP="00573F88">
            <w:pPr>
              <w:widowControl w:val="0"/>
              <w:jc w:val="right"/>
              <w:rPr>
                <w:rFonts w:ascii="Calibri" w:eastAsia="Calibri" w:hAnsi="Calibri" w:cs="Calibri"/>
              </w:rPr>
            </w:pPr>
            <w:r>
              <w:rPr>
                <w:rFonts w:ascii="Calibri" w:hAnsi="Calibri" w:cs="Calibri"/>
              </w:rPr>
              <w:t>3%</w:t>
            </w:r>
          </w:p>
        </w:tc>
        <w:tc>
          <w:tcPr>
            <w:tcW w:w="4832" w:type="dxa"/>
          </w:tcPr>
          <w:p w14:paraId="00000042" w14:textId="243F5097" w:rsidR="00573F88" w:rsidRDefault="00573F88" w:rsidP="00573F88">
            <w:pPr>
              <w:jc w:val="center"/>
              <w:rPr>
                <w:rFonts w:ascii="Cambria Math" w:eastAsia="Cambria Math" w:hAnsi="Cambria Math" w:cs="Cambria Math"/>
              </w:rPr>
            </w:pPr>
            <w:r>
              <w:rPr>
                <w:rFonts w:ascii="Cambria Math" w:hAnsi="Cambria Math"/>
              </w:rPr>
              <w:t>≥2 млн грн та &lt;3 млн грн</w:t>
            </w:r>
          </w:p>
        </w:tc>
      </w:tr>
      <w:tr w:rsidR="00573F88" w14:paraId="53EC92FC" w14:textId="77777777">
        <w:tc>
          <w:tcPr>
            <w:tcW w:w="2793" w:type="dxa"/>
          </w:tcPr>
          <w:p w14:paraId="00000043" w14:textId="1E00EAF1" w:rsidR="00573F88" w:rsidRDefault="00573F88" w:rsidP="00573F88">
            <w:pPr>
              <w:widowControl w:val="0"/>
              <w:jc w:val="right"/>
              <w:rPr>
                <w:rFonts w:ascii="Calibri" w:eastAsia="Calibri" w:hAnsi="Calibri" w:cs="Calibri"/>
              </w:rPr>
            </w:pPr>
            <w:r>
              <w:rPr>
                <w:rFonts w:ascii="Calibri" w:hAnsi="Calibri" w:cs="Calibri"/>
              </w:rPr>
              <w:t>2,8%</w:t>
            </w:r>
          </w:p>
        </w:tc>
        <w:tc>
          <w:tcPr>
            <w:tcW w:w="4832" w:type="dxa"/>
          </w:tcPr>
          <w:p w14:paraId="00000044" w14:textId="10DE5074" w:rsidR="00573F88" w:rsidRDefault="00573F88" w:rsidP="00573F88">
            <w:pPr>
              <w:jc w:val="center"/>
              <w:rPr>
                <w:rFonts w:ascii="Cambria Math" w:eastAsia="Cambria Math" w:hAnsi="Cambria Math" w:cs="Cambria Math"/>
              </w:rPr>
            </w:pPr>
            <w:r>
              <w:rPr>
                <w:rFonts w:ascii="Cambria Math" w:hAnsi="Cambria Math"/>
              </w:rPr>
              <w:t>≥3 млн грн та &lt;4 млн грн</w:t>
            </w:r>
          </w:p>
        </w:tc>
      </w:tr>
      <w:tr w:rsidR="00573F88" w14:paraId="35CFBD6A" w14:textId="77777777">
        <w:tc>
          <w:tcPr>
            <w:tcW w:w="2793" w:type="dxa"/>
          </w:tcPr>
          <w:p w14:paraId="00000045" w14:textId="7CB8A576" w:rsidR="00573F88" w:rsidRDefault="00573F88" w:rsidP="00573F88">
            <w:pPr>
              <w:widowControl w:val="0"/>
              <w:jc w:val="right"/>
              <w:rPr>
                <w:rFonts w:ascii="Calibri" w:eastAsia="Calibri" w:hAnsi="Calibri" w:cs="Calibri"/>
              </w:rPr>
            </w:pPr>
            <w:r>
              <w:rPr>
                <w:rFonts w:ascii="Calibri" w:hAnsi="Calibri" w:cs="Calibri"/>
              </w:rPr>
              <w:t>2,6%</w:t>
            </w:r>
          </w:p>
        </w:tc>
        <w:tc>
          <w:tcPr>
            <w:tcW w:w="4832" w:type="dxa"/>
          </w:tcPr>
          <w:p w14:paraId="00000046" w14:textId="5E021863" w:rsidR="00573F88" w:rsidRDefault="00573F88" w:rsidP="00573F88">
            <w:pPr>
              <w:jc w:val="center"/>
              <w:rPr>
                <w:rFonts w:ascii="Cambria Math" w:eastAsia="Cambria Math" w:hAnsi="Cambria Math" w:cs="Cambria Math"/>
              </w:rPr>
            </w:pPr>
            <w:r>
              <w:rPr>
                <w:rFonts w:ascii="Cambria Math" w:hAnsi="Cambria Math"/>
              </w:rPr>
              <w:t>≥4 млн грн та &lt;5 млн грн</w:t>
            </w:r>
          </w:p>
        </w:tc>
      </w:tr>
      <w:tr w:rsidR="00573F88" w14:paraId="7DA26C9D" w14:textId="77777777">
        <w:tc>
          <w:tcPr>
            <w:tcW w:w="2793" w:type="dxa"/>
          </w:tcPr>
          <w:p w14:paraId="00000047" w14:textId="5537A87F" w:rsidR="00573F88" w:rsidRDefault="00573F88" w:rsidP="00573F88">
            <w:pPr>
              <w:widowControl w:val="0"/>
              <w:jc w:val="right"/>
              <w:rPr>
                <w:rFonts w:ascii="Calibri" w:eastAsia="Calibri" w:hAnsi="Calibri" w:cs="Calibri"/>
              </w:rPr>
            </w:pPr>
            <w:r>
              <w:rPr>
                <w:rFonts w:ascii="Calibri" w:hAnsi="Calibri" w:cs="Calibri"/>
              </w:rPr>
              <w:t>2,4%</w:t>
            </w:r>
          </w:p>
        </w:tc>
        <w:tc>
          <w:tcPr>
            <w:tcW w:w="4832" w:type="dxa"/>
          </w:tcPr>
          <w:p w14:paraId="00000048" w14:textId="0A0A406F" w:rsidR="00573F88" w:rsidRDefault="00573F88" w:rsidP="00573F88">
            <w:pPr>
              <w:jc w:val="center"/>
              <w:rPr>
                <w:rFonts w:ascii="Cambria Math" w:eastAsia="Cambria Math" w:hAnsi="Cambria Math" w:cs="Cambria Math"/>
              </w:rPr>
            </w:pPr>
            <w:r>
              <w:rPr>
                <w:rFonts w:ascii="Cambria Math" w:hAnsi="Cambria Math"/>
              </w:rPr>
              <w:t>≥5 млн грн та &lt;6 млн грн</w:t>
            </w:r>
          </w:p>
        </w:tc>
      </w:tr>
      <w:tr w:rsidR="00573F88" w14:paraId="5B2DAC75" w14:textId="77777777">
        <w:tc>
          <w:tcPr>
            <w:tcW w:w="2793" w:type="dxa"/>
          </w:tcPr>
          <w:p w14:paraId="00000049" w14:textId="0389C1F7" w:rsidR="00573F88" w:rsidRDefault="00573F88" w:rsidP="00573F88">
            <w:pPr>
              <w:widowControl w:val="0"/>
              <w:jc w:val="right"/>
              <w:rPr>
                <w:rFonts w:ascii="Calibri" w:eastAsia="Calibri" w:hAnsi="Calibri" w:cs="Calibri"/>
              </w:rPr>
            </w:pPr>
            <w:r>
              <w:rPr>
                <w:rFonts w:ascii="Calibri" w:hAnsi="Calibri" w:cs="Calibri"/>
              </w:rPr>
              <w:t>2,2%</w:t>
            </w:r>
          </w:p>
        </w:tc>
        <w:tc>
          <w:tcPr>
            <w:tcW w:w="4832" w:type="dxa"/>
          </w:tcPr>
          <w:p w14:paraId="0000004A" w14:textId="59078F00" w:rsidR="00573F88" w:rsidRDefault="00573F88" w:rsidP="00573F88">
            <w:pPr>
              <w:jc w:val="center"/>
              <w:rPr>
                <w:rFonts w:ascii="Cambria Math" w:eastAsia="Cambria Math" w:hAnsi="Cambria Math" w:cs="Cambria Math"/>
              </w:rPr>
            </w:pPr>
            <w:r>
              <w:rPr>
                <w:rFonts w:ascii="Cambria Math" w:hAnsi="Cambria Math"/>
              </w:rPr>
              <w:t>≥6 млн грн та &lt;7 млн грн</w:t>
            </w:r>
          </w:p>
        </w:tc>
      </w:tr>
      <w:tr w:rsidR="00573F88" w14:paraId="023DF43A" w14:textId="77777777">
        <w:tc>
          <w:tcPr>
            <w:tcW w:w="2793" w:type="dxa"/>
          </w:tcPr>
          <w:p w14:paraId="0000004B" w14:textId="0439BE27" w:rsidR="00573F88" w:rsidRDefault="00573F88" w:rsidP="00573F88">
            <w:pPr>
              <w:widowControl w:val="0"/>
              <w:jc w:val="right"/>
              <w:rPr>
                <w:rFonts w:ascii="Calibri" w:eastAsia="Calibri" w:hAnsi="Calibri" w:cs="Calibri"/>
              </w:rPr>
            </w:pPr>
            <w:r>
              <w:rPr>
                <w:rFonts w:ascii="Calibri" w:hAnsi="Calibri" w:cs="Calibri"/>
              </w:rPr>
              <w:t>2%</w:t>
            </w:r>
          </w:p>
        </w:tc>
        <w:tc>
          <w:tcPr>
            <w:tcW w:w="4832" w:type="dxa"/>
          </w:tcPr>
          <w:p w14:paraId="0000004C" w14:textId="641DAFC3" w:rsidR="00573F88" w:rsidRDefault="00573F88" w:rsidP="00573F88">
            <w:pPr>
              <w:jc w:val="center"/>
              <w:rPr>
                <w:rFonts w:ascii="Cambria Math" w:eastAsia="Cambria Math" w:hAnsi="Cambria Math" w:cs="Cambria Math"/>
              </w:rPr>
            </w:pPr>
            <w:r>
              <w:rPr>
                <w:rFonts w:ascii="Cambria Math" w:hAnsi="Cambria Math"/>
              </w:rPr>
              <w:t>≥7 млн грн та &lt;8 млн грн</w:t>
            </w:r>
          </w:p>
        </w:tc>
      </w:tr>
      <w:tr w:rsidR="00573F88" w14:paraId="1DCF01E1" w14:textId="77777777">
        <w:tc>
          <w:tcPr>
            <w:tcW w:w="2793" w:type="dxa"/>
          </w:tcPr>
          <w:p w14:paraId="0000004D" w14:textId="4FDBE787" w:rsidR="00573F88" w:rsidRDefault="00573F88" w:rsidP="00573F88">
            <w:pPr>
              <w:widowControl w:val="0"/>
              <w:jc w:val="right"/>
              <w:rPr>
                <w:rFonts w:ascii="Calibri" w:eastAsia="Calibri" w:hAnsi="Calibri" w:cs="Calibri"/>
              </w:rPr>
            </w:pPr>
            <w:r>
              <w:rPr>
                <w:rFonts w:ascii="Calibri" w:hAnsi="Calibri" w:cs="Calibri"/>
              </w:rPr>
              <w:lastRenderedPageBreak/>
              <w:t>1,8%</w:t>
            </w:r>
          </w:p>
        </w:tc>
        <w:tc>
          <w:tcPr>
            <w:tcW w:w="4832" w:type="dxa"/>
          </w:tcPr>
          <w:p w14:paraId="0000004E" w14:textId="45BD2E81" w:rsidR="00573F88" w:rsidRDefault="00573F88" w:rsidP="00573F88">
            <w:pPr>
              <w:jc w:val="center"/>
              <w:rPr>
                <w:rFonts w:ascii="Cambria Math" w:eastAsia="Cambria Math" w:hAnsi="Cambria Math" w:cs="Cambria Math"/>
              </w:rPr>
            </w:pPr>
            <w:r>
              <w:rPr>
                <w:rFonts w:ascii="Cambria Math" w:hAnsi="Cambria Math"/>
              </w:rPr>
              <w:t>≥8 млн грн та &lt;9 млн грн</w:t>
            </w:r>
          </w:p>
        </w:tc>
      </w:tr>
      <w:tr w:rsidR="00573F88" w14:paraId="2987E00C" w14:textId="77777777">
        <w:tc>
          <w:tcPr>
            <w:tcW w:w="2793" w:type="dxa"/>
          </w:tcPr>
          <w:p w14:paraId="0000004F" w14:textId="7DB821B4" w:rsidR="00573F88" w:rsidRDefault="00573F88" w:rsidP="00573F88">
            <w:pPr>
              <w:widowControl w:val="0"/>
              <w:jc w:val="right"/>
              <w:rPr>
                <w:rFonts w:ascii="Calibri" w:eastAsia="Calibri" w:hAnsi="Calibri" w:cs="Calibri"/>
              </w:rPr>
            </w:pPr>
            <w:r>
              <w:rPr>
                <w:rFonts w:ascii="Calibri" w:hAnsi="Calibri" w:cs="Calibri"/>
              </w:rPr>
              <w:t>1,7%</w:t>
            </w:r>
          </w:p>
        </w:tc>
        <w:tc>
          <w:tcPr>
            <w:tcW w:w="4832" w:type="dxa"/>
          </w:tcPr>
          <w:p w14:paraId="00000050" w14:textId="2A467125" w:rsidR="00573F88" w:rsidRDefault="00573F88" w:rsidP="00573F88">
            <w:pPr>
              <w:jc w:val="center"/>
              <w:rPr>
                <w:rFonts w:ascii="Cambria Math" w:eastAsia="Cambria Math" w:hAnsi="Cambria Math" w:cs="Cambria Math"/>
              </w:rPr>
            </w:pPr>
            <w:r>
              <w:rPr>
                <w:rFonts w:ascii="Cambria Math" w:hAnsi="Cambria Math"/>
              </w:rPr>
              <w:t>≥9 млн грн та &lt;10 млн грн</w:t>
            </w:r>
          </w:p>
        </w:tc>
      </w:tr>
      <w:tr w:rsidR="00573F88" w14:paraId="5CAAE587" w14:textId="77777777">
        <w:tc>
          <w:tcPr>
            <w:tcW w:w="2793" w:type="dxa"/>
          </w:tcPr>
          <w:p w14:paraId="00000051" w14:textId="2C523369" w:rsidR="00573F88" w:rsidRDefault="00573F88" w:rsidP="00573F88">
            <w:pPr>
              <w:widowControl w:val="0"/>
              <w:jc w:val="right"/>
              <w:rPr>
                <w:rFonts w:ascii="Calibri" w:eastAsia="Calibri" w:hAnsi="Calibri" w:cs="Calibri"/>
              </w:rPr>
            </w:pPr>
            <w:r>
              <w:rPr>
                <w:rFonts w:ascii="Calibri" w:hAnsi="Calibri" w:cs="Calibri"/>
              </w:rPr>
              <w:t>1,6%</w:t>
            </w:r>
          </w:p>
        </w:tc>
        <w:tc>
          <w:tcPr>
            <w:tcW w:w="4832" w:type="dxa"/>
          </w:tcPr>
          <w:p w14:paraId="00000052" w14:textId="37B0B196" w:rsidR="00573F88" w:rsidRDefault="00573F88" w:rsidP="00573F88">
            <w:pPr>
              <w:jc w:val="center"/>
              <w:rPr>
                <w:rFonts w:ascii="Cambria Math" w:eastAsia="Cambria Math" w:hAnsi="Cambria Math" w:cs="Cambria Math"/>
              </w:rPr>
            </w:pPr>
            <w:r>
              <w:rPr>
                <w:rFonts w:ascii="Cambria Math" w:hAnsi="Cambria Math"/>
              </w:rPr>
              <w:t>≥10 млн грн та &lt;11 млн грн</w:t>
            </w:r>
          </w:p>
        </w:tc>
      </w:tr>
      <w:tr w:rsidR="00573F88" w14:paraId="23345C96" w14:textId="77777777">
        <w:tc>
          <w:tcPr>
            <w:tcW w:w="2793" w:type="dxa"/>
          </w:tcPr>
          <w:p w14:paraId="00000053" w14:textId="71C080AF" w:rsidR="00573F88" w:rsidRDefault="00573F88" w:rsidP="00573F88">
            <w:pPr>
              <w:widowControl w:val="0"/>
              <w:jc w:val="right"/>
              <w:rPr>
                <w:rFonts w:ascii="Calibri" w:eastAsia="Calibri" w:hAnsi="Calibri" w:cs="Calibri"/>
              </w:rPr>
            </w:pPr>
            <w:r>
              <w:rPr>
                <w:rFonts w:ascii="Calibri" w:hAnsi="Calibri" w:cs="Calibri"/>
              </w:rPr>
              <w:t>1,5%</w:t>
            </w:r>
          </w:p>
        </w:tc>
        <w:tc>
          <w:tcPr>
            <w:tcW w:w="4832" w:type="dxa"/>
          </w:tcPr>
          <w:p w14:paraId="00000054" w14:textId="39511B5E" w:rsidR="00573F88" w:rsidRDefault="00573F88" w:rsidP="00573F88">
            <w:pPr>
              <w:jc w:val="center"/>
              <w:rPr>
                <w:rFonts w:ascii="Cambria Math" w:eastAsia="Cambria Math" w:hAnsi="Cambria Math" w:cs="Cambria Math"/>
              </w:rPr>
            </w:pPr>
            <w:r>
              <w:rPr>
                <w:rFonts w:ascii="Cambria Math" w:hAnsi="Cambria Math"/>
              </w:rPr>
              <w:t>≥11 млн грн та &lt;12 млн грн</w:t>
            </w:r>
          </w:p>
        </w:tc>
      </w:tr>
      <w:tr w:rsidR="00573F88" w14:paraId="2AD0B997" w14:textId="77777777">
        <w:tc>
          <w:tcPr>
            <w:tcW w:w="2793" w:type="dxa"/>
          </w:tcPr>
          <w:p w14:paraId="00000055" w14:textId="7AAB2630" w:rsidR="00573F88" w:rsidRDefault="00573F88" w:rsidP="00573F88">
            <w:pPr>
              <w:widowControl w:val="0"/>
              <w:jc w:val="right"/>
              <w:rPr>
                <w:rFonts w:ascii="Calibri" w:eastAsia="Calibri" w:hAnsi="Calibri" w:cs="Calibri"/>
              </w:rPr>
            </w:pPr>
            <w:r>
              <w:rPr>
                <w:rFonts w:ascii="Calibri" w:hAnsi="Calibri" w:cs="Calibri"/>
              </w:rPr>
              <w:t>1,4%</w:t>
            </w:r>
          </w:p>
        </w:tc>
        <w:tc>
          <w:tcPr>
            <w:tcW w:w="4832" w:type="dxa"/>
          </w:tcPr>
          <w:p w14:paraId="00000056" w14:textId="76AE82A2" w:rsidR="00573F88" w:rsidRDefault="00573F88" w:rsidP="00573F88">
            <w:pPr>
              <w:jc w:val="center"/>
              <w:rPr>
                <w:rFonts w:ascii="Cambria Math" w:eastAsia="Cambria Math" w:hAnsi="Cambria Math" w:cs="Cambria Math"/>
              </w:rPr>
            </w:pPr>
            <w:r>
              <w:rPr>
                <w:rFonts w:ascii="Cambria Math" w:hAnsi="Cambria Math"/>
              </w:rPr>
              <w:t>≥12 млн грн та &lt;14 млн грн</w:t>
            </w:r>
          </w:p>
        </w:tc>
      </w:tr>
      <w:tr w:rsidR="00573F88" w14:paraId="246C9A31" w14:textId="77777777">
        <w:tc>
          <w:tcPr>
            <w:tcW w:w="2793" w:type="dxa"/>
          </w:tcPr>
          <w:p w14:paraId="00000057" w14:textId="7FEE8CC3" w:rsidR="00573F88" w:rsidRDefault="00573F88" w:rsidP="00573F88">
            <w:pPr>
              <w:widowControl w:val="0"/>
              <w:jc w:val="right"/>
              <w:rPr>
                <w:rFonts w:ascii="Calibri" w:eastAsia="Calibri" w:hAnsi="Calibri" w:cs="Calibri"/>
              </w:rPr>
            </w:pPr>
            <w:r>
              <w:rPr>
                <w:rFonts w:ascii="Calibri" w:hAnsi="Calibri" w:cs="Calibri"/>
              </w:rPr>
              <w:t>1,3%</w:t>
            </w:r>
          </w:p>
        </w:tc>
        <w:tc>
          <w:tcPr>
            <w:tcW w:w="4832" w:type="dxa"/>
          </w:tcPr>
          <w:p w14:paraId="00000058" w14:textId="41523B04" w:rsidR="00573F88" w:rsidRDefault="00573F88" w:rsidP="00573F88">
            <w:pPr>
              <w:jc w:val="center"/>
              <w:rPr>
                <w:rFonts w:ascii="Cambria Math" w:eastAsia="Cambria Math" w:hAnsi="Cambria Math" w:cs="Cambria Math"/>
              </w:rPr>
            </w:pPr>
            <w:r>
              <w:rPr>
                <w:rFonts w:ascii="Cambria Math" w:hAnsi="Cambria Math"/>
              </w:rPr>
              <w:t>≥14 млн грн та &lt;16 млн грн</w:t>
            </w:r>
          </w:p>
        </w:tc>
      </w:tr>
      <w:tr w:rsidR="00573F88" w14:paraId="75641673" w14:textId="77777777">
        <w:tc>
          <w:tcPr>
            <w:tcW w:w="2793" w:type="dxa"/>
          </w:tcPr>
          <w:p w14:paraId="00000059" w14:textId="73349D04" w:rsidR="00573F88" w:rsidRDefault="00573F88" w:rsidP="00573F88">
            <w:pPr>
              <w:widowControl w:val="0"/>
              <w:jc w:val="right"/>
              <w:rPr>
                <w:rFonts w:ascii="Calibri" w:eastAsia="Calibri" w:hAnsi="Calibri" w:cs="Calibri"/>
              </w:rPr>
            </w:pPr>
            <w:r>
              <w:rPr>
                <w:rFonts w:ascii="Calibri" w:hAnsi="Calibri" w:cs="Calibri"/>
              </w:rPr>
              <w:t>1,2%</w:t>
            </w:r>
          </w:p>
        </w:tc>
        <w:tc>
          <w:tcPr>
            <w:tcW w:w="4832" w:type="dxa"/>
          </w:tcPr>
          <w:p w14:paraId="0000005A" w14:textId="63A011CB" w:rsidR="00573F88" w:rsidRDefault="00573F88" w:rsidP="00573F88">
            <w:pPr>
              <w:jc w:val="center"/>
              <w:rPr>
                <w:rFonts w:ascii="Cambria Math" w:eastAsia="Cambria Math" w:hAnsi="Cambria Math" w:cs="Cambria Math"/>
              </w:rPr>
            </w:pPr>
            <w:r>
              <w:rPr>
                <w:rFonts w:ascii="Cambria Math" w:hAnsi="Cambria Math"/>
              </w:rPr>
              <w:t>≥16 млн грн та &lt;18 млн грн</w:t>
            </w:r>
          </w:p>
        </w:tc>
      </w:tr>
      <w:tr w:rsidR="00573F88" w14:paraId="1BBE3304" w14:textId="77777777">
        <w:tc>
          <w:tcPr>
            <w:tcW w:w="2793" w:type="dxa"/>
          </w:tcPr>
          <w:p w14:paraId="0000005B" w14:textId="7C72FDB8" w:rsidR="00573F88" w:rsidRDefault="00573F88" w:rsidP="00573F88">
            <w:pPr>
              <w:widowControl w:val="0"/>
              <w:jc w:val="right"/>
              <w:rPr>
                <w:rFonts w:ascii="Calibri" w:eastAsia="Calibri" w:hAnsi="Calibri" w:cs="Calibri"/>
              </w:rPr>
            </w:pPr>
            <w:r>
              <w:rPr>
                <w:rFonts w:ascii="Calibri" w:hAnsi="Calibri" w:cs="Calibri"/>
              </w:rPr>
              <w:t>1,1%</w:t>
            </w:r>
          </w:p>
        </w:tc>
        <w:tc>
          <w:tcPr>
            <w:tcW w:w="4832" w:type="dxa"/>
          </w:tcPr>
          <w:p w14:paraId="0000005C" w14:textId="5AE0DF00" w:rsidR="00573F88" w:rsidRDefault="00573F88" w:rsidP="00573F88">
            <w:pPr>
              <w:jc w:val="center"/>
              <w:rPr>
                <w:rFonts w:ascii="Cambria Math" w:eastAsia="Cambria Math" w:hAnsi="Cambria Math" w:cs="Cambria Math"/>
              </w:rPr>
            </w:pPr>
            <w:r>
              <w:rPr>
                <w:rFonts w:ascii="Cambria Math" w:hAnsi="Cambria Math"/>
              </w:rPr>
              <w:t>≥18 млн грн та &lt;20 млн грн</w:t>
            </w:r>
          </w:p>
        </w:tc>
      </w:tr>
      <w:tr w:rsidR="00573F88" w14:paraId="6AB7D008" w14:textId="77777777">
        <w:tc>
          <w:tcPr>
            <w:tcW w:w="2793" w:type="dxa"/>
          </w:tcPr>
          <w:p w14:paraId="0000005D" w14:textId="1AF76AF9" w:rsidR="00573F88" w:rsidRDefault="00573F88" w:rsidP="00573F88">
            <w:pPr>
              <w:widowControl w:val="0"/>
              <w:jc w:val="right"/>
              <w:rPr>
                <w:rFonts w:ascii="Calibri" w:eastAsia="Calibri" w:hAnsi="Calibri" w:cs="Calibri"/>
              </w:rPr>
            </w:pPr>
            <w:r>
              <w:rPr>
                <w:rFonts w:ascii="Calibri" w:hAnsi="Calibri" w:cs="Calibri"/>
              </w:rPr>
              <w:t>1%</w:t>
            </w:r>
          </w:p>
        </w:tc>
        <w:tc>
          <w:tcPr>
            <w:tcW w:w="4832" w:type="dxa"/>
          </w:tcPr>
          <w:p w14:paraId="0000005E" w14:textId="56D016C9" w:rsidR="00573F88" w:rsidRDefault="00573F88" w:rsidP="00573F88">
            <w:pPr>
              <w:jc w:val="center"/>
              <w:rPr>
                <w:rFonts w:ascii="Cambria Math" w:eastAsia="Cambria Math" w:hAnsi="Cambria Math" w:cs="Cambria Math"/>
              </w:rPr>
            </w:pPr>
            <w:r>
              <w:rPr>
                <w:rFonts w:ascii="Cambria Math" w:hAnsi="Cambria Math"/>
              </w:rPr>
              <w:t>≥20 млн грн та &lt;25 млн грн</w:t>
            </w:r>
          </w:p>
        </w:tc>
      </w:tr>
      <w:tr w:rsidR="00573F88" w14:paraId="28B4A9DC" w14:textId="77777777">
        <w:tc>
          <w:tcPr>
            <w:tcW w:w="2793" w:type="dxa"/>
          </w:tcPr>
          <w:p w14:paraId="0000005F" w14:textId="0F081E49" w:rsidR="00573F88" w:rsidRDefault="00573F88" w:rsidP="00573F88">
            <w:pPr>
              <w:widowControl w:val="0"/>
              <w:jc w:val="right"/>
              <w:rPr>
                <w:rFonts w:ascii="Calibri" w:eastAsia="Calibri" w:hAnsi="Calibri" w:cs="Calibri"/>
              </w:rPr>
            </w:pPr>
            <w:r>
              <w:rPr>
                <w:rFonts w:ascii="Calibri" w:hAnsi="Calibri" w:cs="Calibri"/>
              </w:rPr>
              <w:t>0,9%</w:t>
            </w:r>
          </w:p>
        </w:tc>
        <w:tc>
          <w:tcPr>
            <w:tcW w:w="4832" w:type="dxa"/>
          </w:tcPr>
          <w:p w14:paraId="00000060" w14:textId="23F67C80" w:rsidR="00573F88" w:rsidRDefault="00573F88" w:rsidP="00573F88">
            <w:pPr>
              <w:jc w:val="center"/>
              <w:rPr>
                <w:rFonts w:ascii="Cambria Math" w:eastAsia="Cambria Math" w:hAnsi="Cambria Math" w:cs="Cambria Math"/>
              </w:rPr>
            </w:pPr>
            <w:r>
              <w:rPr>
                <w:rFonts w:ascii="Cambria Math" w:hAnsi="Cambria Math"/>
              </w:rPr>
              <w:t>≥25 млн грн та &lt;30 млн грн</w:t>
            </w:r>
          </w:p>
        </w:tc>
      </w:tr>
      <w:tr w:rsidR="00573F88" w14:paraId="35E5266D" w14:textId="77777777">
        <w:tc>
          <w:tcPr>
            <w:tcW w:w="2793" w:type="dxa"/>
          </w:tcPr>
          <w:p w14:paraId="00000061" w14:textId="6B62DFF0" w:rsidR="00573F88" w:rsidRDefault="00573F88" w:rsidP="00573F88">
            <w:pPr>
              <w:widowControl w:val="0"/>
              <w:jc w:val="right"/>
              <w:rPr>
                <w:rFonts w:ascii="Calibri" w:eastAsia="Calibri" w:hAnsi="Calibri" w:cs="Calibri"/>
              </w:rPr>
            </w:pPr>
            <w:r>
              <w:rPr>
                <w:rFonts w:ascii="Calibri" w:hAnsi="Calibri" w:cs="Calibri"/>
              </w:rPr>
              <w:t>0,8%</w:t>
            </w:r>
          </w:p>
        </w:tc>
        <w:tc>
          <w:tcPr>
            <w:tcW w:w="4832" w:type="dxa"/>
          </w:tcPr>
          <w:p w14:paraId="00000062" w14:textId="6F18F3FD" w:rsidR="00573F88" w:rsidRDefault="00573F88" w:rsidP="00573F88">
            <w:pPr>
              <w:jc w:val="center"/>
              <w:rPr>
                <w:rFonts w:ascii="Cambria Math" w:eastAsia="Cambria Math" w:hAnsi="Cambria Math" w:cs="Cambria Math"/>
              </w:rPr>
            </w:pPr>
            <w:r>
              <w:rPr>
                <w:rFonts w:ascii="Cambria Math" w:hAnsi="Cambria Math"/>
              </w:rPr>
              <w:t>≥30 млн грн та &lt;35 млн грн</w:t>
            </w:r>
          </w:p>
        </w:tc>
      </w:tr>
      <w:tr w:rsidR="00573F88" w14:paraId="330004B5" w14:textId="77777777">
        <w:tc>
          <w:tcPr>
            <w:tcW w:w="2793" w:type="dxa"/>
          </w:tcPr>
          <w:p w14:paraId="00000063" w14:textId="7CA36A37" w:rsidR="00573F88" w:rsidRDefault="00573F88" w:rsidP="00573F88">
            <w:pPr>
              <w:widowControl w:val="0"/>
              <w:jc w:val="right"/>
              <w:rPr>
                <w:rFonts w:ascii="Calibri" w:eastAsia="Calibri" w:hAnsi="Calibri" w:cs="Calibri"/>
              </w:rPr>
            </w:pPr>
            <w:r>
              <w:rPr>
                <w:rFonts w:ascii="Calibri" w:hAnsi="Calibri" w:cs="Calibri"/>
              </w:rPr>
              <w:t>0,7%</w:t>
            </w:r>
          </w:p>
        </w:tc>
        <w:tc>
          <w:tcPr>
            <w:tcW w:w="4832" w:type="dxa"/>
          </w:tcPr>
          <w:p w14:paraId="00000064" w14:textId="2F4ACB83" w:rsidR="00573F88" w:rsidRDefault="00573F88" w:rsidP="00573F88">
            <w:pPr>
              <w:jc w:val="center"/>
              <w:rPr>
                <w:rFonts w:ascii="Cambria Math" w:eastAsia="Cambria Math" w:hAnsi="Cambria Math" w:cs="Cambria Math"/>
              </w:rPr>
            </w:pPr>
            <w:r>
              <w:rPr>
                <w:rFonts w:ascii="Cambria Math" w:hAnsi="Cambria Math"/>
              </w:rPr>
              <w:t>≥35 млн грн та &lt;40 млн грн</w:t>
            </w:r>
          </w:p>
        </w:tc>
      </w:tr>
      <w:tr w:rsidR="00573F88" w14:paraId="22C156D1" w14:textId="77777777">
        <w:tc>
          <w:tcPr>
            <w:tcW w:w="2793" w:type="dxa"/>
          </w:tcPr>
          <w:p w14:paraId="00000065" w14:textId="13D62164" w:rsidR="00573F88" w:rsidRDefault="00573F88" w:rsidP="00573F88">
            <w:pPr>
              <w:widowControl w:val="0"/>
              <w:jc w:val="right"/>
              <w:rPr>
                <w:rFonts w:ascii="Calibri" w:eastAsia="Calibri" w:hAnsi="Calibri" w:cs="Calibri"/>
              </w:rPr>
            </w:pPr>
            <w:r>
              <w:rPr>
                <w:rFonts w:ascii="Calibri" w:hAnsi="Calibri" w:cs="Calibri"/>
              </w:rPr>
              <w:t>0,6%</w:t>
            </w:r>
          </w:p>
        </w:tc>
        <w:tc>
          <w:tcPr>
            <w:tcW w:w="4832" w:type="dxa"/>
          </w:tcPr>
          <w:p w14:paraId="00000066" w14:textId="58D68AD3" w:rsidR="00573F88" w:rsidRDefault="00573F88" w:rsidP="00573F88">
            <w:pPr>
              <w:jc w:val="center"/>
              <w:rPr>
                <w:rFonts w:ascii="Cambria Math" w:eastAsia="Cambria Math" w:hAnsi="Cambria Math" w:cs="Cambria Math"/>
              </w:rPr>
            </w:pPr>
            <w:r>
              <w:rPr>
                <w:rFonts w:ascii="Cambria Math" w:hAnsi="Cambria Math"/>
              </w:rPr>
              <w:t>≥40 млн грн та &lt;45 млн грн</w:t>
            </w:r>
          </w:p>
        </w:tc>
      </w:tr>
      <w:tr w:rsidR="00573F88" w14:paraId="6E2C5934" w14:textId="77777777">
        <w:tc>
          <w:tcPr>
            <w:tcW w:w="2793" w:type="dxa"/>
          </w:tcPr>
          <w:p w14:paraId="00000067" w14:textId="31D29E43" w:rsidR="00573F88" w:rsidRDefault="00573F88" w:rsidP="00573F88">
            <w:pPr>
              <w:widowControl w:val="0"/>
              <w:jc w:val="right"/>
              <w:rPr>
                <w:rFonts w:ascii="Calibri" w:eastAsia="Calibri" w:hAnsi="Calibri" w:cs="Calibri"/>
              </w:rPr>
            </w:pPr>
            <w:r>
              <w:rPr>
                <w:rFonts w:ascii="Calibri" w:hAnsi="Calibri" w:cs="Calibri"/>
              </w:rPr>
              <w:t>0,5%</w:t>
            </w:r>
          </w:p>
        </w:tc>
        <w:tc>
          <w:tcPr>
            <w:tcW w:w="4832" w:type="dxa"/>
          </w:tcPr>
          <w:p w14:paraId="00000068" w14:textId="54079D80" w:rsidR="00573F88" w:rsidRDefault="00573F88" w:rsidP="00573F88">
            <w:pPr>
              <w:jc w:val="center"/>
              <w:rPr>
                <w:rFonts w:ascii="Cambria Math" w:eastAsia="Cambria Math" w:hAnsi="Cambria Math" w:cs="Cambria Math"/>
              </w:rPr>
            </w:pPr>
            <w:r>
              <w:rPr>
                <w:rFonts w:ascii="Cambria Math" w:hAnsi="Cambria Math"/>
              </w:rPr>
              <w:t>≥55 млн грн</w:t>
            </w:r>
          </w:p>
        </w:tc>
      </w:tr>
    </w:tbl>
    <w:p w14:paraId="0000006B"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Якщо вартість предмета закупівлі є меншою ніж 200 тисяч гривень, забезпечення виконання договору про закупівлю не вимагається.</w:t>
      </w:r>
    </w:p>
    <w:p w14:paraId="0000006C" w14:textId="77777777"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Умови повернення забезпечення виконання договору: Замовник повертає забезпечення виконання договору про закупівлю не пізніше ніж протягом 5 (п’яти) робочих днів з дня настання однієї з обставин:</w:t>
      </w:r>
    </w:p>
    <w:p w14:paraId="0000006D" w14:textId="77777777" w:rsidR="00A4280D" w:rsidRDefault="000A12B5">
      <w:pPr>
        <w:numPr>
          <w:ilvl w:val="0"/>
          <w:numId w:val="5"/>
        </w:numPr>
        <w:pBdr>
          <w:top w:val="nil"/>
          <w:left w:val="nil"/>
          <w:bottom w:val="nil"/>
          <w:right w:val="nil"/>
          <w:between w:val="nil"/>
        </w:pBdr>
        <w:spacing w:before="24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після виконання переможцем процедури закупівлі договору про закупівлю;</w:t>
      </w:r>
    </w:p>
    <w:p w14:paraId="0000006E" w14:textId="77777777" w:rsidR="00A4280D" w:rsidRDefault="000A12B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 рішенням суду щодо повернення забезпечення виконання договору у випадку визнання результатів процедури закупівлі недійсними, або договору про закупівлю нікчемним;</w:t>
      </w:r>
    </w:p>
    <w:p w14:paraId="0000006F" w14:textId="1034EED2" w:rsidR="00A4280D" w:rsidRDefault="000A12B5">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випадках, передбачених статтею 43 Закону України “Про публічні закупівлі”</w:t>
      </w:r>
      <w:r w:rsidR="00573F88">
        <w:rPr>
          <w:rFonts w:ascii="Times New Roman" w:eastAsia="Times New Roman" w:hAnsi="Times New Roman" w:cs="Times New Roman"/>
          <w:sz w:val="26"/>
          <w:szCs w:val="26"/>
        </w:rPr>
        <w:t>, з врахуванням положень Особливостей</w:t>
      </w:r>
      <w:r>
        <w:rPr>
          <w:rFonts w:ascii="Times New Roman" w:eastAsia="Times New Roman" w:hAnsi="Times New Roman" w:cs="Times New Roman"/>
          <w:sz w:val="26"/>
          <w:szCs w:val="26"/>
        </w:rPr>
        <w:t>.</w:t>
      </w:r>
    </w:p>
    <w:p w14:paraId="00000070" w14:textId="4FBA4D99"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Вимоги щодо надання постачальником забезпечення виконання договору про закупівлю та умови повернення забезпечення виконання договору</w:t>
      </w:r>
      <w:r w:rsidR="00F558D4">
        <w:rPr>
          <w:rFonts w:ascii="Times New Roman" w:eastAsia="Times New Roman" w:hAnsi="Times New Roman" w:cs="Times New Roman"/>
          <w:sz w:val="26"/>
          <w:szCs w:val="26"/>
        </w:rPr>
        <w:t xml:space="preserve"> вносяться до проєкту договору</w:t>
      </w:r>
      <w:r>
        <w:rPr>
          <w:rFonts w:ascii="Times New Roman" w:eastAsia="Times New Roman" w:hAnsi="Times New Roman" w:cs="Times New Roman"/>
          <w:sz w:val="26"/>
          <w:szCs w:val="26"/>
        </w:rPr>
        <w:t>.</w:t>
      </w:r>
    </w:p>
    <w:p w14:paraId="00000072" w14:textId="2DD10AE3" w:rsidR="00A4280D" w:rsidRDefault="000A12B5">
      <w:pPr>
        <w:pBdr>
          <w:top w:val="nil"/>
          <w:left w:val="nil"/>
          <w:bottom w:val="nil"/>
          <w:right w:val="nil"/>
          <w:between w:val="nil"/>
        </w:pBdr>
        <w:spacing w:before="240" w:after="0" w:line="240" w:lineRule="auto"/>
        <w:ind w:firstLine="567"/>
        <w:jc w:val="both"/>
        <w:rPr>
          <w:rFonts w:ascii="Times New Roman" w:eastAsia="Times New Roman" w:hAnsi="Times New Roman" w:cs="Times New Roman"/>
          <w:sz w:val="26"/>
          <w:szCs w:val="26"/>
        </w:rPr>
      </w:pPr>
      <w:bookmarkStart w:id="6" w:name="_heading=h.4d34og8" w:colFirst="0" w:colLast="0"/>
      <w:bookmarkStart w:id="7" w:name="_heading=h.2s8eyo1" w:colFirst="0" w:colLast="0"/>
      <w:bookmarkEnd w:id="6"/>
      <w:bookmarkEnd w:id="7"/>
      <w:r>
        <w:rPr>
          <w:rFonts w:ascii="Times New Roman" w:eastAsia="Times New Roman" w:hAnsi="Times New Roman" w:cs="Times New Roman"/>
          <w:sz w:val="26"/>
          <w:szCs w:val="26"/>
        </w:rPr>
        <w:t>2.14.</w:t>
      </w:r>
      <w:r>
        <w:rPr>
          <w:rFonts w:ascii="Times New Roman" w:eastAsia="Times New Roman" w:hAnsi="Times New Roman" w:cs="Times New Roman"/>
          <w:sz w:val="26"/>
          <w:szCs w:val="26"/>
        </w:rPr>
        <w:tab/>
        <w:t xml:space="preserve">У разі наявності звернень від учасників із запитами на продовження строку для подання тендерних пропозицій, уповноважена особа має </w:t>
      </w:r>
      <w:r w:rsidR="00F558D4">
        <w:rPr>
          <w:rFonts w:ascii="Times New Roman" w:eastAsia="Times New Roman" w:hAnsi="Times New Roman" w:cs="Times New Roman"/>
          <w:sz w:val="26"/>
          <w:szCs w:val="26"/>
        </w:rPr>
        <w:t>їх розглянути та прийняти рішення</w:t>
      </w:r>
      <w:r>
        <w:rPr>
          <w:rFonts w:ascii="Times New Roman" w:eastAsia="Times New Roman" w:hAnsi="Times New Roman" w:cs="Times New Roman"/>
          <w:sz w:val="26"/>
          <w:szCs w:val="26"/>
        </w:rPr>
        <w:t>.</w:t>
      </w:r>
    </w:p>
    <w:p w14:paraId="129C7C12"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bookmarkStart w:id="8" w:name="_heading=h.17dp8vu" w:colFirst="0" w:colLast="0"/>
      <w:bookmarkEnd w:id="8"/>
      <w:r w:rsidRPr="00573F88">
        <w:rPr>
          <w:rFonts w:ascii="Times New Roman" w:eastAsia="Times New Roman" w:hAnsi="Times New Roman" w:cs="Times New Roman"/>
          <w:sz w:val="26"/>
          <w:szCs w:val="26"/>
        </w:rPr>
        <w:t>2.15.</w:t>
      </w:r>
      <w:r w:rsidRPr="00573F88">
        <w:rPr>
          <w:rFonts w:ascii="Times New Roman" w:eastAsia="Times New Roman" w:hAnsi="Times New Roman" w:cs="Times New Roman"/>
          <w:sz w:val="26"/>
          <w:szCs w:val="26"/>
        </w:rPr>
        <w:tab/>
        <w:t xml:space="preserve">При проведенні закупівлі послуг з поточного ремонту та робіт Замовник обов’язково встановлює вимоги по кваліфікаційному критерію «наявність документально підтвердженого досвіду виконання аналогічного (аналогічних) за предметом закупівлі договору (договорів)». </w:t>
      </w:r>
    </w:p>
    <w:p w14:paraId="18507A2F"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 xml:space="preserve">У випадках, коли очікувана вартість закупівлі послуг з поточного ремонту та робіт перевищує 5 млн грн., додатково до вимог по кваліфікаційному критерію «наявність документально підтвердженого досвіду виконання аналогічного (аналогічних) за предметом закупівлі договору (договорів)», Замовник обов’язково встановлює вимоги по кваліфікаційних критеріях «наявність в учасника процедури закупівлі обладнання, матеріально-технічної бази та технологій» та «наявність в учасника процедури закупівлі працівників відповідної кваліфікації, які мають необхідні знання та досвід». </w:t>
      </w:r>
    </w:p>
    <w:p w14:paraId="626C2707"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 xml:space="preserve">Встановлення вимоги щодо документального підтвердження кваліфікаційних критеріїв «наявність в учасника процедури закупівлі обладнання, матеріально-технічної бази та технологій» та «наявність в учасника процедури закупівлі працівників відповідної кваліфікації, які мають необхідні знання та досвід» повинно бути </w:t>
      </w:r>
      <w:proofErr w:type="spellStart"/>
      <w:r w:rsidRPr="00573F88">
        <w:rPr>
          <w:rFonts w:ascii="Times New Roman" w:eastAsia="Times New Roman" w:hAnsi="Times New Roman" w:cs="Times New Roman"/>
          <w:sz w:val="26"/>
          <w:szCs w:val="26"/>
        </w:rPr>
        <w:t>обгрунтованим</w:t>
      </w:r>
      <w:proofErr w:type="spellEnd"/>
      <w:r w:rsidRPr="00573F88">
        <w:rPr>
          <w:rFonts w:ascii="Times New Roman" w:eastAsia="Times New Roman" w:hAnsi="Times New Roman" w:cs="Times New Roman"/>
          <w:sz w:val="26"/>
          <w:szCs w:val="26"/>
        </w:rPr>
        <w:t xml:space="preserve"> та відповідати основним вимогам технічного завдання</w:t>
      </w:r>
    </w:p>
    <w:p w14:paraId="6A221C18"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2.16.</w:t>
      </w:r>
      <w:r w:rsidRPr="00573F88">
        <w:rPr>
          <w:rFonts w:ascii="Times New Roman" w:eastAsia="Times New Roman" w:hAnsi="Times New Roman" w:cs="Times New Roman"/>
          <w:sz w:val="26"/>
          <w:szCs w:val="26"/>
        </w:rPr>
        <w:tab/>
        <w:t>При проведенні закупівлі товарів та послуг очікуваною вартістю до 1 млн грн. замовник не встановлює для учасників інших кваліфікаційних критеріїв, крім наявності документально підтвердженого досвіду виконання аналогічного за предметом закупівлі договору.</w:t>
      </w:r>
    </w:p>
    <w:p w14:paraId="399CBBC8"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У випадках, коли очікувана вартість закупівлі товарів та послуг перевищує 1 млн грн., Замовник може встановлювати вимоги по кваліфікаційних критеріях «наявність в учасника процедури закупівлі обладнання, матеріально-технічної бази та технологій» та/або «наявність в учасника процедури закупівлі працівників відповідної кваліфікації, які мають необхідні знання та досвід».</w:t>
      </w:r>
    </w:p>
    <w:p w14:paraId="4CDCB32F" w14:textId="3E8688C1"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Встановлення вимоги щодо документального підтвердження кваліфікаційних критеріїв «наявність в учасника процедури закупівлі обладнання, матеріально-технічної бази та технологій» та «наявність в учасника процедури закупівлі працівників відповідної кваліфікації, які мають необхідні знання та досвід» повинно бути обґрунтованим та відповідати основним вимогам технічного завдання.</w:t>
      </w:r>
    </w:p>
    <w:p w14:paraId="49D2EF82"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 xml:space="preserve">2.17. При встановленні вимог щодо документального підтвердження технічних та якісних характеристик предмету закупівлі Замовник не повинен  зазначати вимоги, що обмежують конкуренцію та призводять до дискримінації учасників. </w:t>
      </w:r>
    </w:p>
    <w:p w14:paraId="3C3B3B79" w14:textId="5A528CFB"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2.17.1. При встановленні в документації вимог щодо надання сертифікатів, паспортів та ін</w:t>
      </w:r>
      <w:r>
        <w:rPr>
          <w:rFonts w:ascii="Times New Roman" w:eastAsia="Times New Roman" w:hAnsi="Times New Roman" w:cs="Times New Roman"/>
          <w:sz w:val="26"/>
          <w:szCs w:val="26"/>
        </w:rPr>
        <w:t>ших</w:t>
      </w:r>
      <w:r w:rsidRPr="00573F88">
        <w:rPr>
          <w:rFonts w:ascii="Times New Roman" w:eastAsia="Times New Roman" w:hAnsi="Times New Roman" w:cs="Times New Roman"/>
          <w:sz w:val="26"/>
          <w:szCs w:val="26"/>
        </w:rPr>
        <w:t xml:space="preserve"> документів Замовник має врахувати: чи є даний документ обов’язковим у сфері діяльності учасника в частині, що стосується предмета закупівлі; не встановлювати вимоги надання різних сертифікатів, що є взаємозамінними; чи є вимога отримання даних документів чинною на час подання пропозиції.</w:t>
      </w:r>
    </w:p>
    <w:p w14:paraId="4765645A"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r w:rsidRPr="00573F88">
        <w:rPr>
          <w:rFonts w:ascii="Times New Roman" w:eastAsia="Times New Roman" w:hAnsi="Times New Roman" w:cs="Times New Roman"/>
          <w:sz w:val="26"/>
          <w:szCs w:val="26"/>
        </w:rPr>
        <w:t>2.17.2.</w:t>
      </w:r>
      <w:r w:rsidRPr="00573F88">
        <w:rPr>
          <w:rFonts w:ascii="Times New Roman" w:eastAsia="Times New Roman" w:hAnsi="Times New Roman" w:cs="Times New Roman"/>
          <w:sz w:val="26"/>
          <w:szCs w:val="26"/>
        </w:rPr>
        <w:tab/>
        <w:t>Замовник не може встановлювати вимог щодо надання учасниками будь якого документа  з письмовою відміткою представника замовника.</w:t>
      </w:r>
    </w:p>
    <w:p w14:paraId="17C7B0E8"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62DA7072"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7118C025"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5D903982" w14:textId="77777777" w:rsidR="00573F88" w:rsidRPr="00573F88" w:rsidRDefault="00573F88" w:rsidP="00573F88">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7"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8"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9"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A"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B"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C"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D"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E"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7F"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80"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81"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82"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83"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84"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30472F8D" w14:textId="77777777" w:rsidR="00FF3ACE" w:rsidRDefault="00FF3ACE">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88DE9FF" w14:textId="77777777" w:rsidR="00FF3ACE" w:rsidRDefault="00FF3ACE">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5F3E7763" w14:textId="77777777" w:rsidR="00FF3ACE" w:rsidRDefault="00FF3ACE">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3FFDC84B" w14:textId="77777777" w:rsidR="00FF3ACE" w:rsidRDefault="00FF3ACE">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00000085" w14:textId="77777777" w:rsidR="00A4280D" w:rsidRDefault="00A4280D">
      <w:pPr>
        <w:pBdr>
          <w:top w:val="nil"/>
          <w:left w:val="nil"/>
          <w:bottom w:val="nil"/>
          <w:right w:val="nil"/>
          <w:between w:val="nil"/>
        </w:pBdr>
        <w:spacing w:before="120" w:after="0" w:line="240" w:lineRule="auto"/>
        <w:ind w:firstLine="567"/>
        <w:jc w:val="both"/>
        <w:rPr>
          <w:rFonts w:ascii="Times New Roman" w:eastAsia="Times New Roman" w:hAnsi="Times New Roman" w:cs="Times New Roman"/>
          <w:sz w:val="26"/>
          <w:szCs w:val="26"/>
        </w:rPr>
      </w:pPr>
    </w:p>
    <w:p w14:paraId="7B288244" w14:textId="77777777" w:rsidR="00573F88" w:rsidRPr="00573F88" w:rsidRDefault="00573F88" w:rsidP="00573F88">
      <w:pPr>
        <w:shd w:val="clear" w:color="auto" w:fill="FFFFFF"/>
        <w:spacing w:line="240" w:lineRule="auto"/>
        <w:ind w:left="-2" w:hanging="2"/>
        <w:jc w:val="right"/>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Додаток 1</w:t>
      </w:r>
    </w:p>
    <w:p w14:paraId="5C1A60F0" w14:textId="3140D7FA" w:rsidR="00573F88" w:rsidRPr="00573F88" w:rsidRDefault="00573F88" w:rsidP="00573F88">
      <w:pPr>
        <w:shd w:val="clear" w:color="auto" w:fill="FFFFFF"/>
        <w:spacing w:line="240" w:lineRule="auto"/>
        <w:ind w:left="4110" w:hanging="1"/>
        <w:jc w:val="right"/>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xml:space="preserve">до Методики </w:t>
      </w:r>
    </w:p>
    <w:p w14:paraId="7B05C94D" w14:textId="7D51B7EB" w:rsidR="00573F88" w:rsidRPr="00573F88" w:rsidRDefault="00573F88" w:rsidP="00573F88">
      <w:pPr>
        <w:spacing w:before="36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Примірн</w:t>
      </w:r>
      <w:r w:rsidR="00C80A9F">
        <w:rPr>
          <w:rFonts w:ascii="Times New Roman" w:eastAsia="Times New Roman" w:hAnsi="Times New Roman" w:cs="Times New Roman"/>
          <w:b/>
          <w:bCs/>
          <w:color w:val="000000"/>
          <w:sz w:val="26"/>
          <w:szCs w:val="26"/>
        </w:rPr>
        <w:t>і вимоги щодо встановлення кваліфікаційних критерії у</w:t>
      </w:r>
      <w:r w:rsidRPr="00573F88">
        <w:rPr>
          <w:rFonts w:ascii="Times New Roman" w:eastAsia="Times New Roman" w:hAnsi="Times New Roman" w:cs="Times New Roman"/>
          <w:b/>
          <w:bCs/>
          <w:color w:val="000000"/>
          <w:sz w:val="26"/>
          <w:szCs w:val="26"/>
        </w:rPr>
        <w:t xml:space="preserve"> тендерн</w:t>
      </w:r>
      <w:r w:rsidR="00C80A9F">
        <w:rPr>
          <w:rFonts w:ascii="Times New Roman" w:eastAsia="Times New Roman" w:hAnsi="Times New Roman" w:cs="Times New Roman"/>
          <w:b/>
          <w:bCs/>
          <w:color w:val="000000"/>
          <w:sz w:val="26"/>
          <w:szCs w:val="26"/>
        </w:rPr>
        <w:t>ій</w:t>
      </w:r>
      <w:r w:rsidRPr="00573F88">
        <w:rPr>
          <w:rFonts w:ascii="Times New Roman" w:eastAsia="Times New Roman" w:hAnsi="Times New Roman" w:cs="Times New Roman"/>
          <w:b/>
          <w:bCs/>
          <w:color w:val="000000"/>
          <w:sz w:val="26"/>
          <w:szCs w:val="26"/>
        </w:rPr>
        <w:t xml:space="preserve"> документаці</w:t>
      </w:r>
      <w:r w:rsidR="00C80A9F">
        <w:rPr>
          <w:rFonts w:ascii="Times New Roman" w:eastAsia="Times New Roman" w:hAnsi="Times New Roman" w:cs="Times New Roman"/>
          <w:b/>
          <w:bCs/>
          <w:color w:val="000000"/>
          <w:sz w:val="26"/>
          <w:szCs w:val="26"/>
        </w:rPr>
        <w:t>ї</w:t>
      </w:r>
      <w:r w:rsidRPr="00573F88">
        <w:rPr>
          <w:rFonts w:ascii="Times New Roman" w:eastAsia="Times New Roman" w:hAnsi="Times New Roman" w:cs="Times New Roman"/>
          <w:b/>
          <w:bCs/>
          <w:color w:val="000000"/>
          <w:sz w:val="26"/>
          <w:szCs w:val="26"/>
        </w:rPr>
        <w:t xml:space="preserve"> для процедури закупівлі – відкриті торги </w:t>
      </w:r>
    </w:p>
    <w:p w14:paraId="7C338D1F" w14:textId="77777777" w:rsidR="00573F88" w:rsidRPr="00573F88" w:rsidRDefault="00573F88" w:rsidP="00573F88">
      <w:pPr>
        <w:spacing w:after="0" w:line="240" w:lineRule="auto"/>
        <w:rPr>
          <w:rFonts w:ascii="Times New Roman" w:eastAsia="Times New Roman" w:hAnsi="Times New Roman" w:cs="Times New Roman"/>
          <w:sz w:val="24"/>
          <w:szCs w:val="24"/>
        </w:rPr>
      </w:pPr>
    </w:p>
    <w:p w14:paraId="60B9CFDA"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p>
    <w:p w14:paraId="5367C61F" w14:textId="77777777" w:rsidR="00573F88" w:rsidRPr="00573F88" w:rsidRDefault="00573F88" w:rsidP="00573F88">
      <w:pPr>
        <w:shd w:val="clear" w:color="auto" w:fill="FFFFFF"/>
        <w:spacing w:after="0" w:line="240" w:lineRule="auto"/>
        <w:jc w:val="right"/>
        <w:rPr>
          <w:rFonts w:ascii="Times New Roman" w:eastAsia="Times New Roman" w:hAnsi="Times New Roman" w:cs="Times New Roman"/>
          <w:sz w:val="24"/>
          <w:szCs w:val="24"/>
        </w:rPr>
      </w:pPr>
      <w:bookmarkStart w:id="9" w:name="_Hlk181914803"/>
      <w:r w:rsidRPr="00573F88">
        <w:rPr>
          <w:rFonts w:ascii="Times New Roman" w:eastAsia="Times New Roman" w:hAnsi="Times New Roman" w:cs="Times New Roman"/>
          <w:b/>
          <w:bCs/>
          <w:color w:val="000000"/>
          <w:sz w:val="26"/>
          <w:szCs w:val="26"/>
        </w:rPr>
        <w:t>Додаток №1</w:t>
      </w:r>
    </w:p>
    <w:p w14:paraId="4F286AA1" w14:textId="77777777" w:rsidR="00573F88" w:rsidRPr="00573F88" w:rsidRDefault="00573F88" w:rsidP="00573F88">
      <w:pPr>
        <w:shd w:val="clear" w:color="auto" w:fill="FFFFFF"/>
        <w:spacing w:after="0" w:line="240" w:lineRule="auto"/>
        <w:jc w:val="right"/>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до тендерної документації</w:t>
      </w:r>
    </w:p>
    <w:bookmarkEnd w:id="9"/>
    <w:p w14:paraId="5C8F7462"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p>
    <w:p w14:paraId="0670C1E6"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ІНФОРМАЦІЯ ТА ДОКУМЕНТИ,</w:t>
      </w:r>
    </w:p>
    <w:p w14:paraId="2ECB566B"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що підтверджують відповідність учасника кваліфікаційним критеріям </w:t>
      </w:r>
    </w:p>
    <w:p w14:paraId="49BF13BF" w14:textId="77777777" w:rsidR="00573F88" w:rsidRPr="00573F88" w:rsidRDefault="00573F88" w:rsidP="00573F88">
      <w:pPr>
        <w:shd w:val="clear" w:color="auto" w:fill="FFFFFF"/>
        <w:spacing w:after="0" w:line="240" w:lineRule="auto"/>
        <w:rPr>
          <w:rFonts w:ascii="Times New Roman" w:eastAsia="Times New Roman" w:hAnsi="Times New Roman" w:cs="Times New Roman"/>
          <w:sz w:val="24"/>
          <w:szCs w:val="24"/>
        </w:rPr>
      </w:pPr>
    </w:p>
    <w:p w14:paraId="42656E2A" w14:textId="77777777" w:rsidR="00573F88" w:rsidRPr="00573F88" w:rsidRDefault="00573F88" w:rsidP="00573F88">
      <w:pPr>
        <w:shd w:val="clear" w:color="auto" w:fill="FFFFFF"/>
        <w:spacing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Замовник встановлює такі кваліфікаційні критерії та визначає перелік документів, що підтверджують інформацію учасників про відповідність їх таким критеріям:</w:t>
      </w:r>
    </w:p>
    <w:tbl>
      <w:tblPr>
        <w:tblW w:w="0" w:type="auto"/>
        <w:jc w:val="center"/>
        <w:tblCellMar>
          <w:top w:w="15" w:type="dxa"/>
          <w:left w:w="15" w:type="dxa"/>
          <w:bottom w:w="15" w:type="dxa"/>
          <w:right w:w="15" w:type="dxa"/>
        </w:tblCellMar>
        <w:tblLook w:val="04A0" w:firstRow="1" w:lastRow="0" w:firstColumn="1" w:lastColumn="0" w:noHBand="0" w:noVBand="1"/>
      </w:tblPr>
      <w:tblGrid>
        <w:gridCol w:w="4220"/>
        <w:gridCol w:w="6259"/>
      </w:tblGrid>
      <w:tr w:rsidR="00573F88" w:rsidRPr="00573F88" w14:paraId="4295B273" w14:textId="77777777" w:rsidTr="00573F88">
        <w:trPr>
          <w:jc w:val="center"/>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48400AB0"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Кваліфікаційний критерій*</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5BE6DC13"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Перелік документів, що підтверджують інформацію про відповідність учасників таким критеріям</w:t>
            </w:r>
          </w:p>
        </w:tc>
      </w:tr>
      <w:tr w:rsidR="00573F88" w:rsidRPr="00573F88" w14:paraId="664D7BC4" w14:textId="77777777" w:rsidTr="00573F88">
        <w:trPr>
          <w:jc w:val="center"/>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03EBAEB0" w14:textId="77777777" w:rsidR="00573F88" w:rsidRPr="00573F88" w:rsidRDefault="00573F88" w:rsidP="00573F88">
            <w:pPr>
              <w:shd w:val="clear" w:color="auto" w:fill="FFFFFF"/>
              <w:spacing w:after="0" w:line="240" w:lineRule="auto"/>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1. Наявність документально підтвердженого досвіду виконання аналогічного* (аналогічних) за предметом закупівлі договору (договорів)</w:t>
            </w:r>
          </w:p>
          <w:p w14:paraId="03993F4D" w14:textId="77777777" w:rsidR="00573F88" w:rsidRPr="00573F88" w:rsidRDefault="00573F88" w:rsidP="00573F88">
            <w:pPr>
              <w:shd w:val="clear" w:color="auto" w:fill="FFFFFF"/>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291E2AA4" w14:textId="77777777" w:rsidR="00573F88" w:rsidRPr="00573F88" w:rsidRDefault="00573F88" w:rsidP="00573F88">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573F88">
              <w:rPr>
                <w:rFonts w:ascii="Times New Roman" w:eastAsia="Times New Roman" w:hAnsi="Times New Roman" w:cs="Times New Roman"/>
                <w:color w:val="000000"/>
                <w:sz w:val="26"/>
                <w:szCs w:val="26"/>
              </w:rPr>
              <w:t>Довідка у довільної форми, яка повинна містити інформацію щодо  виконання договору (договорів), суму, номер та дату договору (договорів), найменування контрагента та предмет договору (договорів).</w:t>
            </w:r>
          </w:p>
          <w:p w14:paraId="05569BDD" w14:textId="77777777" w:rsidR="00573F88" w:rsidRPr="00573F88" w:rsidRDefault="00573F88" w:rsidP="00573F88">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sidRPr="00573F88">
              <w:rPr>
                <w:rFonts w:ascii="Times New Roman" w:eastAsia="Times New Roman" w:hAnsi="Times New Roman" w:cs="Times New Roman"/>
                <w:color w:val="000000"/>
                <w:sz w:val="26"/>
                <w:szCs w:val="26"/>
              </w:rPr>
              <w:t>На підтвердження досвіду виконання аналогічного* (аналогічних) за предметом закупівлі договору (договорів) Учасник має надати:</w:t>
            </w:r>
          </w:p>
          <w:p w14:paraId="66A62F4C" w14:textId="77777777" w:rsidR="00573F88" w:rsidRPr="00573F88" w:rsidRDefault="00573F88" w:rsidP="00573F88">
            <w:pPr>
              <w:shd w:val="clear" w:color="auto" w:fill="FFFFFF"/>
              <w:spacing w:after="0" w:line="240" w:lineRule="auto"/>
              <w:ind w:left="425"/>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не менше 1 копії договору, зазначеного у довідці у повному обсязі (з усіма укладеними додатковими угодами, додатками та специфікаціями до договору);</w:t>
            </w:r>
          </w:p>
          <w:p w14:paraId="1071516D" w14:textId="77777777" w:rsidR="00573F88" w:rsidRPr="00573F88" w:rsidRDefault="00573F88" w:rsidP="00573F88">
            <w:pPr>
              <w:shd w:val="clear" w:color="auto" w:fill="FFFFFF"/>
              <w:spacing w:after="0" w:line="240" w:lineRule="auto"/>
              <w:ind w:left="425"/>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копії/ю документів/у на підтвердження виконання (часткового виконання) не менше ніж одного договору зазначеного в наданій Учасником довідці (зазначені документи повинні містити посилання на номер та дату договору).</w:t>
            </w:r>
          </w:p>
        </w:tc>
      </w:tr>
    </w:tbl>
    <w:p w14:paraId="4591FEBF" w14:textId="77777777" w:rsidR="00573F88" w:rsidRPr="00573F88" w:rsidRDefault="00573F88" w:rsidP="00573F88">
      <w:pPr>
        <w:shd w:val="clear" w:color="auto" w:fill="FFFFFF"/>
        <w:spacing w:after="0" w:line="240" w:lineRule="auto"/>
        <w:rPr>
          <w:rFonts w:ascii="Times New Roman" w:eastAsia="Times New Roman" w:hAnsi="Times New Roman" w:cs="Times New Roman"/>
          <w:sz w:val="24"/>
          <w:szCs w:val="24"/>
        </w:rPr>
      </w:pPr>
      <w:r w:rsidRPr="00573F88">
        <w:rPr>
          <w:rFonts w:ascii="Times New Roman" w:eastAsia="Times New Roman" w:hAnsi="Times New Roman" w:cs="Times New Roman"/>
          <w:i/>
          <w:iCs/>
          <w:color w:val="000000"/>
          <w:sz w:val="20"/>
          <w:szCs w:val="20"/>
        </w:rPr>
        <w:t>*Аналогічним договором вважається договір на поставку товару, які відповідають коду четвертої цифри національного класифікатора ДК 021:2015 товару, який є предметом закупівлі. (Згідно п.3 Розділу І. «Порядку визначення предмета закупівлі, затвердженого наказом Мінекономіки від 15 квітня 2020 р. № 708»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Аналогічним договором вважається договір на постачання товару, який відповідає коду четвертої цифри національного класифікатора ДК 021:2015 товару, який є предметом закупівлі</w:t>
      </w:r>
    </w:p>
    <w:p w14:paraId="0CE6B87C" w14:textId="77777777" w:rsidR="00573F88" w:rsidRPr="00573F88" w:rsidRDefault="00573F88" w:rsidP="00573F88">
      <w:pPr>
        <w:shd w:val="clear" w:color="auto" w:fill="FFFFFF"/>
        <w:spacing w:after="0" w:line="240" w:lineRule="auto"/>
        <w:ind w:firstLine="709"/>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 </w:t>
      </w:r>
    </w:p>
    <w:p w14:paraId="0A403163" w14:textId="718C194A" w:rsidR="00573F88" w:rsidRDefault="00573F88" w:rsidP="00573F88">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573F88">
        <w:rPr>
          <w:rFonts w:ascii="Times New Roman" w:eastAsia="Times New Roman" w:hAnsi="Times New Roman" w:cs="Times New Roman"/>
          <w:color w:val="000000"/>
          <w:sz w:val="26"/>
          <w:szCs w:val="26"/>
        </w:rPr>
        <w:tab/>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6B32797" w14:textId="4202A180" w:rsidR="00D52FCB" w:rsidRDefault="00D52FCB" w:rsidP="00573F88">
      <w:pPr>
        <w:shd w:val="clear" w:color="auto" w:fill="FFFFFF"/>
        <w:spacing w:after="0" w:line="240" w:lineRule="auto"/>
        <w:ind w:firstLine="709"/>
        <w:jc w:val="both"/>
        <w:rPr>
          <w:rFonts w:ascii="Times New Roman" w:eastAsia="Times New Roman" w:hAnsi="Times New Roman" w:cs="Times New Roman"/>
          <w:color w:val="000000"/>
          <w:sz w:val="26"/>
          <w:szCs w:val="26"/>
        </w:rPr>
      </w:pPr>
    </w:p>
    <w:p w14:paraId="79FA7693" w14:textId="49D8B10E" w:rsidR="00D52FCB" w:rsidRDefault="00D52FCB" w:rsidP="00573F88">
      <w:pPr>
        <w:shd w:val="clear" w:color="auto" w:fill="FFFFFF"/>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У випадку </w:t>
      </w:r>
      <w:r w:rsidRPr="00D52FCB">
        <w:rPr>
          <w:rFonts w:ascii="Times New Roman" w:eastAsia="Times New Roman" w:hAnsi="Times New Roman" w:cs="Times New Roman"/>
          <w:b/>
          <w:color w:val="000000"/>
          <w:sz w:val="26"/>
          <w:szCs w:val="26"/>
        </w:rPr>
        <w:t>закупівель робіт та послуг з поточного ремонту</w:t>
      </w:r>
      <w:r>
        <w:rPr>
          <w:rFonts w:ascii="Times New Roman" w:eastAsia="Times New Roman" w:hAnsi="Times New Roman" w:cs="Times New Roman"/>
          <w:color w:val="000000"/>
          <w:sz w:val="26"/>
          <w:szCs w:val="26"/>
        </w:rPr>
        <w:t xml:space="preserve"> варто встановлювати такі кваліфікаційні критерії, як наявність матеріально-технічної бази, обладнання та технологій та наявність працівників, що мають відповідну кваліфікацію та досвід виконання аналогічних робіт.</w:t>
      </w:r>
    </w:p>
    <w:p w14:paraId="25206B11" w14:textId="67B83F18" w:rsidR="00C80A9F" w:rsidRDefault="00C80A9F" w:rsidP="00573F88">
      <w:pPr>
        <w:shd w:val="clear" w:color="auto" w:fill="FFFFFF"/>
        <w:spacing w:after="0" w:line="240" w:lineRule="auto"/>
        <w:ind w:firstLine="709"/>
        <w:jc w:val="both"/>
        <w:rPr>
          <w:rFonts w:ascii="Times New Roman" w:eastAsia="Times New Roman" w:hAnsi="Times New Roman" w:cs="Times New Roman"/>
          <w:sz w:val="24"/>
          <w:szCs w:val="24"/>
        </w:rPr>
      </w:pPr>
    </w:p>
    <w:p w14:paraId="6866CCD0" w14:textId="3C3A1B93"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Інформаційну довідку, складену в довільній формі</w:t>
      </w:r>
      <w:r w:rsidRPr="00573F88">
        <w:rPr>
          <w:rFonts w:ascii="Times New Roman" w:eastAsia="Times New Roman" w:hAnsi="Times New Roman" w:cs="Times New Roman"/>
          <w:color w:val="000000"/>
          <w:sz w:val="26"/>
          <w:szCs w:val="26"/>
        </w:rPr>
        <w:t>, щодо осіб, які мають право підписувати тендерну пропозицію.</w:t>
      </w:r>
    </w:p>
    <w:p w14:paraId="4ACC2419" w14:textId="3E1743DD"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Документи</w:t>
      </w:r>
      <w:r w:rsidRPr="00573F88">
        <w:rPr>
          <w:rFonts w:ascii="Times New Roman" w:eastAsia="Times New Roman" w:hAnsi="Times New Roman" w:cs="Times New Roman"/>
          <w:color w:val="000000"/>
          <w:sz w:val="26"/>
          <w:szCs w:val="26"/>
        </w:rPr>
        <w:t xml:space="preserve">, що підтверджують </w:t>
      </w:r>
      <w:r w:rsidRPr="00573F88">
        <w:rPr>
          <w:rFonts w:ascii="Times New Roman" w:eastAsia="Times New Roman" w:hAnsi="Times New Roman" w:cs="Times New Roman"/>
          <w:b/>
          <w:bCs/>
          <w:color w:val="000000"/>
          <w:sz w:val="26"/>
          <w:szCs w:val="26"/>
        </w:rPr>
        <w:t>повноваження щодо підпису</w:t>
      </w:r>
      <w:r w:rsidRPr="00573F88">
        <w:rPr>
          <w:rFonts w:ascii="Times New Roman" w:eastAsia="Times New Roman" w:hAnsi="Times New Roman" w:cs="Times New Roman"/>
          <w:color w:val="000000"/>
          <w:sz w:val="26"/>
          <w:szCs w:val="26"/>
        </w:rPr>
        <w:t xml:space="preserve"> </w:t>
      </w:r>
      <w:r w:rsidRPr="00C80A9F">
        <w:rPr>
          <w:rFonts w:ascii="Times New Roman" w:eastAsia="Times New Roman" w:hAnsi="Times New Roman" w:cs="Times New Roman"/>
          <w:b/>
          <w:color w:val="000000"/>
          <w:sz w:val="26"/>
          <w:szCs w:val="26"/>
        </w:rPr>
        <w:t xml:space="preserve">документів тендерної пропозиції </w:t>
      </w:r>
      <w:r w:rsidRPr="00573F88">
        <w:rPr>
          <w:rFonts w:ascii="Times New Roman" w:eastAsia="Times New Roman" w:hAnsi="Times New Roman" w:cs="Times New Roman"/>
          <w:color w:val="000000"/>
          <w:sz w:val="26"/>
          <w:szCs w:val="26"/>
        </w:rPr>
        <w:t>та внесення інформації в електронні поля тендерної пропозиції:</w:t>
      </w:r>
    </w:p>
    <w:p w14:paraId="1491B970"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i/>
          <w:iCs/>
          <w:color w:val="000000"/>
          <w:sz w:val="26"/>
          <w:szCs w:val="26"/>
        </w:rPr>
        <w:t xml:space="preserve">для керівника учасника </w:t>
      </w:r>
      <w:r w:rsidRPr="00573F88">
        <w:rPr>
          <w:rFonts w:ascii="Times New Roman" w:eastAsia="Times New Roman" w:hAnsi="Times New Roman" w:cs="Times New Roman"/>
          <w:color w:val="000000"/>
          <w:sz w:val="26"/>
          <w:szCs w:val="26"/>
        </w:rPr>
        <w:t>– виписка з протоколу зборів засновників або копія протоколу зборів засновників або копія наказу про призначення, та/або інший документ, що підтверджує повноваження керівника учасника;</w:t>
      </w:r>
    </w:p>
    <w:p w14:paraId="3583B5CF"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i/>
          <w:iCs/>
          <w:color w:val="000000"/>
          <w:sz w:val="26"/>
          <w:szCs w:val="26"/>
        </w:rPr>
        <w:t xml:space="preserve">для іншої посадової особи учасника </w:t>
      </w:r>
      <w:r w:rsidRPr="00573F88">
        <w:rPr>
          <w:rFonts w:ascii="Times New Roman" w:eastAsia="Times New Roman" w:hAnsi="Times New Roman" w:cs="Times New Roman"/>
          <w:color w:val="000000"/>
          <w:sz w:val="26"/>
          <w:szCs w:val="26"/>
        </w:rPr>
        <w:t>– довіреність (доручення) керівника учасника на ім’я уповноваженої особи учасника та виписка з протоколу зборів засновників або копія протоколу зборів засновників та копія наказу (витягу з наказу) про призначення керівника, який надав довіреність (доручення), та/або інший документ, що підтверджує повноваження посадової особи учасника, яка надала довіреність (доручення);</w:t>
      </w:r>
    </w:p>
    <w:p w14:paraId="18E2A1EA"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i/>
          <w:iCs/>
          <w:color w:val="000000"/>
          <w:sz w:val="26"/>
          <w:szCs w:val="26"/>
        </w:rPr>
        <w:t xml:space="preserve">для фізичної особи, у тому числі фізичної особи-підприємця </w:t>
      </w:r>
      <w:r w:rsidRPr="00573F88">
        <w:rPr>
          <w:rFonts w:ascii="Times New Roman" w:eastAsia="Times New Roman" w:hAnsi="Times New Roman" w:cs="Times New Roman"/>
          <w:color w:val="000000"/>
          <w:sz w:val="26"/>
          <w:szCs w:val="26"/>
        </w:rPr>
        <w:t>– не вимагається.</w:t>
      </w:r>
    </w:p>
    <w:p w14:paraId="496A4E12"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У разі якщо тендерна пропозиція подається об’єднанням учасників, до неї обов’язково включається документ про створення такого об’єднання.</w:t>
      </w:r>
    </w:p>
    <w:p w14:paraId="0E41EDFF" w14:textId="7EBB336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Довідку в довільній формі</w:t>
      </w:r>
      <w:r w:rsidRPr="00573F88">
        <w:rPr>
          <w:rFonts w:ascii="Times New Roman" w:eastAsia="Times New Roman" w:hAnsi="Times New Roman" w:cs="Times New Roman"/>
          <w:color w:val="000000"/>
          <w:sz w:val="26"/>
          <w:szCs w:val="26"/>
        </w:rPr>
        <w:t xml:space="preserve"> із зазначенням інформації про особу уповноважену на підписання договору про закупівлю.</w:t>
      </w:r>
    </w:p>
    <w:p w14:paraId="125400DE" w14:textId="1BD3B582"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Довідку у довільній формі</w:t>
      </w:r>
      <w:r w:rsidRPr="00573F88">
        <w:rPr>
          <w:rFonts w:ascii="Times New Roman" w:eastAsia="Times New Roman" w:hAnsi="Times New Roman" w:cs="Times New Roman"/>
          <w:color w:val="000000"/>
          <w:sz w:val="26"/>
          <w:szCs w:val="26"/>
        </w:rPr>
        <w:t xml:space="preserve"> про наявність/відсутність статутних (або іншого установчого документу) обмежень щодо права уповноваженої особи учасника на підписання договору на суму наданої пропозиції.</w:t>
      </w:r>
    </w:p>
    <w:p w14:paraId="3BB20516"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та</w:t>
      </w:r>
    </w:p>
    <w:p w14:paraId="3779FEED"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При наявності обмежень</w:t>
      </w:r>
      <w:r w:rsidRPr="00573F88">
        <w:rPr>
          <w:rFonts w:ascii="Times New Roman" w:eastAsia="Times New Roman" w:hAnsi="Times New Roman" w:cs="Times New Roman"/>
          <w:color w:val="000000"/>
          <w:sz w:val="26"/>
          <w:szCs w:val="26"/>
        </w:rPr>
        <w:t xml:space="preserve"> у Статуті (або іншому установчому документі) органів управління учасника на укладання договорів та/або відповідно до Закону «Про товариства з обмеженою та додатковою відповідальністю» від 06.02.2018 р. № 2275-VIII, відповідно до законодавства України, обов'язково надається копія рішення учасників (засновників) товариства, яке дає право підписання договору на суму наданої пропозиції (згоди на вчинення правочину).</w:t>
      </w:r>
    </w:p>
    <w:p w14:paraId="5E358D15" w14:textId="77777777"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b/>
          <w:bCs/>
          <w:i/>
          <w:iCs/>
          <w:color w:val="000000"/>
          <w:sz w:val="26"/>
          <w:szCs w:val="26"/>
        </w:rPr>
        <w:t>Для учасника, який є акціонерним товариством</w:t>
      </w:r>
      <w:r w:rsidRPr="00573F88">
        <w:rPr>
          <w:rFonts w:ascii="Times New Roman" w:eastAsia="Times New Roman" w:hAnsi="Times New Roman" w:cs="Times New Roman"/>
          <w:color w:val="000000"/>
          <w:sz w:val="26"/>
          <w:szCs w:val="26"/>
        </w:rPr>
        <w:t xml:space="preserve"> – рішення про вчинення значного правочину відповідно до ст. 70 Закону України «Про акціонерні товариства».</w:t>
      </w:r>
    </w:p>
    <w:p w14:paraId="4772474E" w14:textId="07310735" w:rsidR="00C80A9F" w:rsidRDefault="00C80A9F" w:rsidP="00C80A9F">
      <w:pPr>
        <w:shd w:val="clear" w:color="auto" w:fill="FFFFFF"/>
        <w:spacing w:after="0" w:line="240" w:lineRule="auto"/>
        <w:ind w:firstLine="426"/>
        <w:jc w:val="both"/>
        <w:rPr>
          <w:rFonts w:ascii="Times New Roman" w:eastAsia="Times New Roman" w:hAnsi="Times New Roman" w:cs="Times New Roman"/>
          <w:color w:val="000000"/>
          <w:sz w:val="26"/>
          <w:szCs w:val="26"/>
        </w:rPr>
      </w:pPr>
      <w:r w:rsidRPr="00573F88">
        <w:rPr>
          <w:rFonts w:ascii="Times New Roman" w:eastAsia="Times New Roman" w:hAnsi="Times New Roman" w:cs="Times New Roman"/>
          <w:color w:val="000000"/>
          <w:sz w:val="26"/>
          <w:szCs w:val="26"/>
        </w:rPr>
        <w:t xml:space="preserve">У складі тендерної пропозиції учасником надається </w:t>
      </w:r>
      <w:r w:rsidRPr="00573F88">
        <w:rPr>
          <w:rFonts w:ascii="Times New Roman" w:eastAsia="Times New Roman" w:hAnsi="Times New Roman" w:cs="Times New Roman"/>
          <w:b/>
          <w:bCs/>
          <w:color w:val="000000"/>
          <w:sz w:val="26"/>
          <w:szCs w:val="26"/>
        </w:rPr>
        <w:t>гарантійний лист довільної форми</w:t>
      </w:r>
      <w:r w:rsidRPr="00573F88">
        <w:rPr>
          <w:rFonts w:ascii="Times New Roman" w:eastAsia="Times New Roman" w:hAnsi="Times New Roman" w:cs="Times New Roman"/>
          <w:color w:val="000000"/>
          <w:sz w:val="26"/>
          <w:szCs w:val="26"/>
        </w:rPr>
        <w:t>, яким учасник гарантує, що вся вказана ним у тендерній пропозиції інформація є достовірною, а сам учасник відповідно до вимог чинного законодавства обізнаний про відповідальність за подання завідомо недостовірних даних та підробку документів.</w:t>
      </w:r>
    </w:p>
    <w:p w14:paraId="5798805E" w14:textId="0C5DC77E" w:rsidR="00C80A9F" w:rsidRPr="00573F88" w:rsidRDefault="00C80A9F" w:rsidP="00C80A9F">
      <w:pPr>
        <w:shd w:val="clear" w:color="auto" w:fill="FFFFFF"/>
        <w:spacing w:after="0" w:line="240" w:lineRule="auto"/>
        <w:ind w:firstLine="426"/>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xml:space="preserve">Якщо тендерною документацією встановлена вимога </w:t>
      </w:r>
      <w:r w:rsidRPr="00C80A9F">
        <w:rPr>
          <w:rFonts w:ascii="Times New Roman" w:eastAsia="Times New Roman" w:hAnsi="Times New Roman" w:cs="Times New Roman"/>
          <w:b/>
          <w:color w:val="000000"/>
          <w:sz w:val="26"/>
          <w:szCs w:val="26"/>
        </w:rPr>
        <w:t>щодо надання забезпечення тендерної пропозиції</w:t>
      </w:r>
      <w:r w:rsidRPr="00573F8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то прописуються вимоги щодо його надання, відповідно до </w:t>
      </w:r>
      <w:r w:rsidRPr="00C80A9F">
        <w:rPr>
          <w:rFonts w:ascii="Times New Roman" w:eastAsia="Times New Roman" w:hAnsi="Times New Roman" w:cs="Times New Roman"/>
          <w:color w:val="000000"/>
          <w:sz w:val="26"/>
          <w:szCs w:val="26"/>
        </w:rPr>
        <w:t>статті 25 Закону з урахуванням положень пункту 47 цих особливостей</w:t>
      </w:r>
      <w:r>
        <w:rPr>
          <w:rFonts w:ascii="Times New Roman" w:eastAsia="Times New Roman" w:hAnsi="Times New Roman" w:cs="Times New Roman"/>
          <w:color w:val="000000"/>
          <w:sz w:val="26"/>
          <w:szCs w:val="26"/>
        </w:rPr>
        <w:t>.</w:t>
      </w:r>
    </w:p>
    <w:p w14:paraId="06264BAA" w14:textId="0EFC49A9" w:rsidR="00C80A9F" w:rsidRDefault="00C80A9F" w:rsidP="00C80A9F">
      <w:pPr>
        <w:shd w:val="clear" w:color="auto" w:fill="FFFFFF"/>
        <w:spacing w:after="0" w:line="240" w:lineRule="auto"/>
        <w:ind w:firstLine="426"/>
        <w:jc w:val="both"/>
        <w:rPr>
          <w:rFonts w:ascii="Times New Roman" w:eastAsia="Times New Roman" w:hAnsi="Times New Roman" w:cs="Times New Roman"/>
          <w:color w:val="000000"/>
          <w:sz w:val="26"/>
          <w:szCs w:val="26"/>
        </w:rPr>
      </w:pPr>
      <w:r w:rsidRPr="00573F88">
        <w:rPr>
          <w:rFonts w:ascii="Times New Roman" w:eastAsia="Times New Roman" w:hAnsi="Times New Roman" w:cs="Times New Roman"/>
          <w:color w:val="000000"/>
          <w:sz w:val="26"/>
          <w:szCs w:val="26"/>
        </w:rPr>
        <w:t xml:space="preserve">Якщо тендерною документацією встановлена вимога </w:t>
      </w:r>
      <w:r w:rsidRPr="00C80A9F">
        <w:rPr>
          <w:rFonts w:ascii="Times New Roman" w:eastAsia="Times New Roman" w:hAnsi="Times New Roman" w:cs="Times New Roman"/>
          <w:b/>
          <w:color w:val="000000"/>
          <w:sz w:val="26"/>
          <w:szCs w:val="26"/>
        </w:rPr>
        <w:t>надання забезпечення виконання договору</w:t>
      </w:r>
      <w:r w:rsidRPr="00573F88">
        <w:rPr>
          <w:rFonts w:ascii="Times New Roman" w:eastAsia="Times New Roman" w:hAnsi="Times New Roman" w:cs="Times New Roman"/>
          <w:color w:val="000000"/>
          <w:sz w:val="26"/>
          <w:szCs w:val="26"/>
        </w:rPr>
        <w:t xml:space="preserve">, учасником у складі тендерної пропозиції надається </w:t>
      </w:r>
      <w:r w:rsidRPr="00573F88">
        <w:rPr>
          <w:rFonts w:ascii="Times New Roman" w:eastAsia="Times New Roman" w:hAnsi="Times New Roman" w:cs="Times New Roman"/>
          <w:b/>
          <w:bCs/>
          <w:color w:val="000000"/>
          <w:sz w:val="26"/>
          <w:szCs w:val="26"/>
        </w:rPr>
        <w:t>гарантійний лист довільної форми</w:t>
      </w:r>
      <w:r w:rsidRPr="00573F88">
        <w:rPr>
          <w:rFonts w:ascii="Times New Roman" w:eastAsia="Times New Roman" w:hAnsi="Times New Roman" w:cs="Times New Roman"/>
          <w:color w:val="000000"/>
          <w:sz w:val="26"/>
          <w:szCs w:val="26"/>
        </w:rPr>
        <w:t>, яким учасник гарантує, що, ним буде надано забезпечення виконання договору у разі визнання його переможцем процедури закупівлі, не пізніше дати укладення договору про закупівлю після оприлюднення в електронній системі закупівель повідомлення про намір укласти договір.</w:t>
      </w:r>
    </w:p>
    <w:p w14:paraId="6E490732" w14:textId="0DC808D0" w:rsidR="00B1627A" w:rsidRPr="00B1627A" w:rsidRDefault="00ED7F50" w:rsidP="00B1627A">
      <w:pPr>
        <w:shd w:val="clear" w:color="auto" w:fill="FFFFFF"/>
        <w:spacing w:after="0" w:line="240" w:lineRule="auto"/>
        <w:ind w:firstLine="426"/>
        <w:jc w:val="both"/>
        <w:rPr>
          <w:rFonts w:ascii="Times New Roman" w:eastAsia="Times New Roman" w:hAnsi="Times New Roman" w:cs="Times New Roman"/>
          <w:sz w:val="26"/>
          <w:szCs w:val="26"/>
        </w:rPr>
      </w:pPr>
      <w:r w:rsidRPr="00B1627A">
        <w:rPr>
          <w:rFonts w:ascii="Times New Roman" w:eastAsia="Times New Roman" w:hAnsi="Times New Roman" w:cs="Times New Roman"/>
          <w:sz w:val="26"/>
          <w:szCs w:val="26"/>
        </w:rPr>
        <w:t xml:space="preserve">При закупівлі товару, що підпадає під </w:t>
      </w:r>
      <w:r w:rsidRPr="00B1627A">
        <w:rPr>
          <w:rFonts w:ascii="Times New Roman" w:eastAsia="Times New Roman" w:hAnsi="Times New Roman" w:cs="Times New Roman"/>
          <w:b/>
          <w:sz w:val="26"/>
          <w:szCs w:val="26"/>
        </w:rPr>
        <w:t>локалізацію</w:t>
      </w:r>
      <w:r w:rsidRPr="00B1627A">
        <w:rPr>
          <w:rFonts w:ascii="Times New Roman" w:eastAsia="Times New Roman" w:hAnsi="Times New Roman" w:cs="Times New Roman"/>
          <w:sz w:val="26"/>
          <w:szCs w:val="26"/>
        </w:rPr>
        <w:t xml:space="preserve">, Замовник прописує вимоги щодо </w:t>
      </w:r>
      <w:r w:rsidR="00B1627A" w:rsidRPr="00B1627A">
        <w:rPr>
          <w:rFonts w:ascii="Times New Roman" w:eastAsia="Times New Roman" w:hAnsi="Times New Roman" w:cs="Times New Roman"/>
          <w:sz w:val="26"/>
          <w:szCs w:val="26"/>
        </w:rPr>
        <w:t>надання учасником процедури закупівлі сертифіката відповідності системи управління якістю у виробництві вимогам ДСТУ ISO 9001:2015 або ДСТУ EN ISO 9001:2018 (EN ISO 9001:2015, IDT; ISO 9001:2015, IDT) щодо виробника, продукція якого пропонується таким учасником, або національних стандартів, якими їх замінено, виданого акредитованим відповідно до законодавства органом з оцінки відповідності;</w:t>
      </w:r>
    </w:p>
    <w:p w14:paraId="44165536" w14:textId="77777777" w:rsidR="00B1627A" w:rsidRPr="00B1627A" w:rsidRDefault="00B1627A" w:rsidP="00B1627A">
      <w:pPr>
        <w:shd w:val="clear" w:color="auto" w:fill="FFFFFF"/>
        <w:spacing w:after="0" w:line="240" w:lineRule="auto"/>
        <w:ind w:firstLine="426"/>
        <w:jc w:val="both"/>
        <w:rPr>
          <w:rFonts w:ascii="Times New Roman" w:eastAsia="Times New Roman" w:hAnsi="Times New Roman" w:cs="Times New Roman"/>
          <w:sz w:val="26"/>
          <w:szCs w:val="26"/>
        </w:rPr>
      </w:pPr>
      <w:r w:rsidRPr="00B1627A">
        <w:rPr>
          <w:rFonts w:ascii="Times New Roman" w:eastAsia="Times New Roman" w:hAnsi="Times New Roman" w:cs="Times New Roman"/>
          <w:sz w:val="26"/>
          <w:szCs w:val="26"/>
        </w:rPr>
        <w:t xml:space="preserve">щодо надання учасниками інформації про наявність товару у Переліку товарів з необхідною локалізацією; </w:t>
      </w:r>
    </w:p>
    <w:p w14:paraId="02A5FFC8" w14:textId="7C36DA37" w:rsidR="00B1627A" w:rsidRPr="00B1627A" w:rsidRDefault="00B1627A" w:rsidP="00B1627A">
      <w:pPr>
        <w:shd w:val="clear" w:color="auto" w:fill="FFFFFF"/>
        <w:spacing w:after="0" w:line="240" w:lineRule="auto"/>
        <w:ind w:firstLine="426"/>
        <w:jc w:val="both"/>
        <w:rPr>
          <w:rFonts w:ascii="Times New Roman" w:eastAsia="Times New Roman" w:hAnsi="Times New Roman" w:cs="Times New Roman"/>
          <w:sz w:val="26"/>
          <w:szCs w:val="26"/>
        </w:rPr>
      </w:pPr>
      <w:r w:rsidRPr="00B1627A">
        <w:rPr>
          <w:rFonts w:ascii="Times New Roman" w:eastAsia="Times New Roman" w:hAnsi="Times New Roman" w:cs="Times New Roman"/>
          <w:sz w:val="26"/>
          <w:szCs w:val="26"/>
        </w:rPr>
        <w:t>щодо надання калькуляції собівартості від виробника. Ця калькуляція оприлюднюється в електронній системі закупівель разом із звітом про виконання договору.</w:t>
      </w:r>
    </w:p>
    <w:p w14:paraId="7FA29D2D" w14:textId="37855393" w:rsidR="00ED7F50" w:rsidRPr="00B1627A" w:rsidRDefault="00B1627A" w:rsidP="00B1627A">
      <w:pPr>
        <w:shd w:val="clear" w:color="auto" w:fill="FFFFFF"/>
        <w:spacing w:after="0" w:line="240" w:lineRule="auto"/>
        <w:ind w:firstLine="426"/>
        <w:jc w:val="both"/>
        <w:rPr>
          <w:rFonts w:ascii="Times New Roman" w:eastAsia="Times New Roman" w:hAnsi="Times New Roman" w:cs="Times New Roman"/>
          <w:sz w:val="26"/>
          <w:szCs w:val="26"/>
        </w:rPr>
      </w:pPr>
      <w:r w:rsidRPr="00B1627A">
        <w:rPr>
          <w:rFonts w:ascii="Times New Roman" w:eastAsia="Times New Roman" w:hAnsi="Times New Roman" w:cs="Times New Roman"/>
          <w:sz w:val="26"/>
          <w:szCs w:val="26"/>
        </w:rPr>
        <w:t>Відповідно до змін внесених до Особливостей  (квітень 2024 року) зміни стосуються визначення локалізації не лише у товарах, але і у роботах та послугах. Зокрема, тепер вимоги щодо локалізації встановлюються лише тоді, коли вартість товару, включеного до складу робіт або послуг, дорівнює або перевищує 200 тисяч гривень. Якщо ж вартість декількох товарів не перевищує цю межу поодинці, але разом вона становить більше 200 тисяч гривень, то замовник має враховувати кожен товар окремо і не сумувати їх вартість.</w:t>
      </w:r>
    </w:p>
    <w:p w14:paraId="06316173" w14:textId="77777777" w:rsidR="00C80A9F" w:rsidRPr="00B1627A" w:rsidRDefault="00C80A9F" w:rsidP="00C80A9F">
      <w:pPr>
        <w:shd w:val="clear" w:color="auto" w:fill="FFFFFF"/>
        <w:spacing w:after="0" w:line="240" w:lineRule="auto"/>
        <w:ind w:firstLine="426"/>
        <w:jc w:val="both"/>
        <w:rPr>
          <w:rFonts w:ascii="Times New Roman" w:eastAsia="Times New Roman" w:hAnsi="Times New Roman" w:cs="Times New Roman"/>
          <w:sz w:val="26"/>
          <w:szCs w:val="26"/>
        </w:rPr>
      </w:pPr>
    </w:p>
    <w:p w14:paraId="22596658" w14:textId="77777777" w:rsidR="00C80A9F" w:rsidRPr="00573F88" w:rsidRDefault="00C80A9F" w:rsidP="00573F88">
      <w:pPr>
        <w:shd w:val="clear" w:color="auto" w:fill="FFFFFF"/>
        <w:spacing w:after="0" w:line="240" w:lineRule="auto"/>
        <w:ind w:firstLine="709"/>
        <w:jc w:val="both"/>
        <w:rPr>
          <w:rFonts w:ascii="Times New Roman" w:eastAsia="Times New Roman" w:hAnsi="Times New Roman" w:cs="Times New Roman"/>
          <w:sz w:val="24"/>
          <w:szCs w:val="24"/>
        </w:rPr>
      </w:pPr>
    </w:p>
    <w:p w14:paraId="215DF817"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Інформація про спосіб підтвердження</w:t>
      </w:r>
    </w:p>
    <w:p w14:paraId="2D03451A"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відсутності підстав, визначених у пункті 47 Особливостей</w:t>
      </w:r>
    </w:p>
    <w:p w14:paraId="717EB981" w14:textId="77777777" w:rsidR="00573F88" w:rsidRPr="00573F88" w:rsidRDefault="00573F88" w:rsidP="00573F88">
      <w:pPr>
        <w:shd w:val="clear" w:color="auto" w:fill="FFFFFF"/>
        <w:spacing w:line="240" w:lineRule="auto"/>
        <w:jc w:val="center"/>
        <w:rPr>
          <w:rFonts w:ascii="Times New Roman" w:eastAsia="Times New Roman" w:hAnsi="Times New Roman" w:cs="Times New Roman"/>
          <w:sz w:val="24"/>
          <w:szCs w:val="24"/>
        </w:rPr>
      </w:pPr>
    </w:p>
    <w:p w14:paraId="259F7982" w14:textId="77777777" w:rsidR="00573F88" w:rsidRPr="00573F88" w:rsidRDefault="00573F88" w:rsidP="00573F88">
      <w:pPr>
        <w:numPr>
          <w:ilvl w:val="0"/>
          <w:numId w:val="7"/>
        </w:numPr>
        <w:spacing w:after="0" w:line="240" w:lineRule="auto"/>
        <w:ind w:right="-284"/>
        <w:jc w:val="center"/>
        <w:textAlignment w:val="baseline"/>
        <w:rPr>
          <w:rFonts w:ascii="Times New Roman" w:eastAsia="Times New Roman" w:hAnsi="Times New Roman" w:cs="Times New Roman"/>
          <w:b/>
          <w:bCs/>
          <w:color w:val="000000"/>
          <w:sz w:val="24"/>
          <w:szCs w:val="24"/>
        </w:rPr>
      </w:pPr>
      <w:r w:rsidRPr="00573F88">
        <w:rPr>
          <w:rFonts w:ascii="Times New Roman" w:eastAsia="Times New Roman" w:hAnsi="Times New Roman" w:cs="Times New Roman"/>
          <w:b/>
          <w:bCs/>
          <w:color w:val="000000"/>
          <w:sz w:val="24"/>
          <w:szCs w:val="24"/>
        </w:rPr>
        <w:t>Підтвердження відповідності Учасника (в тому числі для об’єднання учасників як учасника процедури) вимогам, визначеним п. 47 Особливостей.</w:t>
      </w:r>
    </w:p>
    <w:p w14:paraId="72053C93"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4DF1D720"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w:t>
      </w:r>
      <w:r w:rsidRPr="00573F88">
        <w:rPr>
          <w:rFonts w:ascii="Times New Roman" w:eastAsia="Times New Roman" w:hAnsi="Times New Roman" w:cs="Times New Roman"/>
          <w:b/>
          <w:bCs/>
          <w:color w:val="000000"/>
          <w:sz w:val="26"/>
          <w:szCs w:val="26"/>
        </w:rPr>
        <w:t>самостійного декларування відсутності таких підстав</w:t>
      </w:r>
      <w:r w:rsidRPr="00573F88">
        <w:rPr>
          <w:rFonts w:ascii="Times New Roman" w:eastAsia="Times New Roman" w:hAnsi="Times New Roman" w:cs="Times New Roman"/>
          <w:color w:val="000000"/>
          <w:sz w:val="26"/>
          <w:szCs w:val="26"/>
        </w:rPr>
        <w:t xml:space="preserve"> учасником процедури закупівлі відповідно до абзацу шістнадцятого пункту 47 Особливостей.</w:t>
      </w:r>
    </w:p>
    <w:p w14:paraId="51D6CD0D"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Учасник процедури закупівлі підтверджує відсутність підстав, зазначених в пункті 47 Особливостей (крім підпунктів 1 і 7), шляхом самостійного декларування відсутності таких підстав в електронній системі закупівель під час подання тендерної пропозиції.</w:t>
      </w:r>
    </w:p>
    <w:p w14:paraId="3885512D"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6D8802F0"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47 Особливостей.</w:t>
      </w:r>
    </w:p>
    <w:p w14:paraId="15E597FE"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У разі подання тендерної пропозиції об'єднанням учасників підтвердження відсутності підстав, для відмови в участі у процедурі закупівлі визначених в пункті 47 Особливостей подається від кожного учасника, які входять у склад об'єднання окремо.</w:t>
      </w:r>
    </w:p>
    <w:p w14:paraId="2404A6D8" w14:textId="77777777" w:rsidR="00573F88" w:rsidRPr="00573F88" w:rsidRDefault="00573F88" w:rsidP="00573F88">
      <w:pPr>
        <w:shd w:val="clear" w:color="auto" w:fill="FFFFFF"/>
        <w:spacing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1EAE0ADB" w14:textId="77777777" w:rsidR="000103E7" w:rsidRPr="00573F88" w:rsidRDefault="000103E7" w:rsidP="000103E7">
      <w:pPr>
        <w:shd w:val="clear" w:color="auto" w:fill="FFFFFF"/>
        <w:spacing w:after="0" w:line="240" w:lineRule="auto"/>
        <w:jc w:val="center"/>
        <w:rPr>
          <w:rFonts w:ascii="Times New Roman" w:eastAsia="Times New Roman" w:hAnsi="Times New Roman" w:cs="Times New Roman"/>
          <w:sz w:val="24"/>
          <w:szCs w:val="24"/>
        </w:rPr>
      </w:pPr>
    </w:p>
    <w:p w14:paraId="15E346BB" w14:textId="77777777" w:rsidR="000103E7" w:rsidRPr="00573F88" w:rsidRDefault="000103E7" w:rsidP="000103E7">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 xml:space="preserve">Інформація про необхідні технічні, якісні та кількісні характеристики предмета закупівлі, у тому числі відповідна технічна специфікація та інформація про маркування, протоколи </w:t>
      </w:r>
      <w:proofErr w:type="spellStart"/>
      <w:r w:rsidRPr="00573F88">
        <w:rPr>
          <w:rFonts w:ascii="Times New Roman" w:eastAsia="Times New Roman" w:hAnsi="Times New Roman" w:cs="Times New Roman"/>
          <w:b/>
          <w:bCs/>
          <w:color w:val="000000"/>
          <w:sz w:val="26"/>
          <w:szCs w:val="26"/>
        </w:rPr>
        <w:t>випробовувань</w:t>
      </w:r>
      <w:proofErr w:type="spellEnd"/>
      <w:r w:rsidRPr="00573F88">
        <w:rPr>
          <w:rFonts w:ascii="Times New Roman" w:eastAsia="Times New Roman" w:hAnsi="Times New Roman" w:cs="Times New Roman"/>
          <w:b/>
          <w:bCs/>
          <w:color w:val="000000"/>
          <w:sz w:val="26"/>
          <w:szCs w:val="26"/>
        </w:rPr>
        <w:t xml:space="preserve"> або сертифікати </w:t>
      </w:r>
      <w:proofErr w:type="spellStart"/>
      <w:r w:rsidRPr="00573F88">
        <w:rPr>
          <w:rFonts w:ascii="Times New Roman" w:eastAsia="Times New Roman" w:hAnsi="Times New Roman" w:cs="Times New Roman"/>
          <w:b/>
          <w:bCs/>
          <w:color w:val="000000"/>
          <w:sz w:val="26"/>
          <w:szCs w:val="26"/>
        </w:rPr>
        <w:t>випробовувань</w:t>
      </w:r>
      <w:proofErr w:type="spellEnd"/>
      <w:r w:rsidRPr="00573F88">
        <w:rPr>
          <w:rFonts w:ascii="Times New Roman" w:eastAsia="Times New Roman" w:hAnsi="Times New Roman" w:cs="Times New Roman"/>
          <w:b/>
          <w:bCs/>
          <w:color w:val="000000"/>
          <w:sz w:val="26"/>
          <w:szCs w:val="26"/>
        </w:rPr>
        <w:t>  що підтверджують відповідність предмета закупівлі встановленим замовником вимогам на закупівлю.</w:t>
      </w:r>
    </w:p>
    <w:p w14:paraId="4B1D3F3C" w14:textId="77777777" w:rsidR="000103E7" w:rsidRPr="00573F88" w:rsidRDefault="000103E7" w:rsidP="000103E7">
      <w:pPr>
        <w:shd w:val="clear" w:color="auto" w:fill="FFFFFF"/>
        <w:spacing w:after="0" w:line="240" w:lineRule="auto"/>
        <w:jc w:val="center"/>
        <w:rPr>
          <w:rFonts w:ascii="Times New Roman" w:eastAsia="Times New Roman" w:hAnsi="Times New Roman" w:cs="Times New Roman"/>
          <w:sz w:val="24"/>
          <w:szCs w:val="24"/>
        </w:rPr>
      </w:pPr>
    </w:p>
    <w:p w14:paraId="3C0FCFB1" w14:textId="77777777" w:rsidR="000103E7" w:rsidRPr="00573F88" w:rsidRDefault="000103E7" w:rsidP="000103E7">
      <w:pPr>
        <w:shd w:val="clear" w:color="auto" w:fill="FFFFFF"/>
        <w:spacing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 xml:space="preserve">СПЕЦИФІКАЦІЯ </w:t>
      </w:r>
      <w:r w:rsidRPr="00573F88">
        <w:rPr>
          <w:rFonts w:ascii="Times New Roman" w:eastAsia="Times New Roman" w:hAnsi="Times New Roman" w:cs="Times New Roman"/>
          <w:color w:val="000000"/>
          <w:sz w:val="26"/>
          <w:szCs w:val="26"/>
        </w:rPr>
        <w:t>(кількісні характеристики)</w:t>
      </w:r>
    </w:p>
    <w:tbl>
      <w:tblPr>
        <w:tblW w:w="0" w:type="auto"/>
        <w:tblCellMar>
          <w:top w:w="15" w:type="dxa"/>
          <w:left w:w="15" w:type="dxa"/>
          <w:bottom w:w="15" w:type="dxa"/>
          <w:right w:w="15" w:type="dxa"/>
        </w:tblCellMar>
        <w:tblLook w:val="04A0" w:firstRow="1" w:lastRow="0" w:firstColumn="1" w:lastColumn="0" w:noHBand="0" w:noVBand="1"/>
      </w:tblPr>
      <w:tblGrid>
        <w:gridCol w:w="819"/>
        <w:gridCol w:w="2767"/>
        <w:gridCol w:w="1396"/>
        <w:gridCol w:w="1275"/>
      </w:tblGrid>
      <w:tr w:rsidR="000103E7" w:rsidRPr="00573F88" w14:paraId="3B04E29E" w14:textId="77777777" w:rsidTr="007969C2">
        <w:trPr>
          <w:trHeight w:val="841"/>
        </w:trPr>
        <w:tc>
          <w:tcPr>
            <w:tcW w:w="0" w:type="auto"/>
            <w:tcBorders>
              <w:top w:val="single" w:sz="4" w:space="0" w:color="000001"/>
              <w:left w:val="single" w:sz="4" w:space="0" w:color="000001"/>
              <w:bottom w:val="single" w:sz="4" w:space="0" w:color="000001"/>
              <w:right w:val="single" w:sz="4" w:space="0" w:color="000000"/>
            </w:tcBorders>
            <w:shd w:val="clear" w:color="auto" w:fill="BFBFBF"/>
            <w:tcMar>
              <w:top w:w="55" w:type="dxa"/>
              <w:left w:w="108" w:type="dxa"/>
              <w:bottom w:w="55" w:type="dxa"/>
              <w:right w:w="108" w:type="dxa"/>
            </w:tcMar>
            <w:vAlign w:val="center"/>
            <w:hideMark/>
          </w:tcPr>
          <w:p w14:paraId="459F8C8C"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 з/п</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55" w:type="dxa"/>
              <w:left w:w="108" w:type="dxa"/>
              <w:bottom w:w="55" w:type="dxa"/>
              <w:right w:w="108" w:type="dxa"/>
            </w:tcMar>
            <w:vAlign w:val="center"/>
            <w:hideMark/>
          </w:tcPr>
          <w:p w14:paraId="14DFA922"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55" w:type="dxa"/>
              <w:left w:w="108" w:type="dxa"/>
              <w:bottom w:w="55" w:type="dxa"/>
              <w:right w:w="108" w:type="dxa"/>
            </w:tcMar>
            <w:vAlign w:val="center"/>
            <w:hideMark/>
          </w:tcPr>
          <w:p w14:paraId="636841C2"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Од. виміру</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55" w:type="dxa"/>
              <w:left w:w="108" w:type="dxa"/>
              <w:bottom w:w="55" w:type="dxa"/>
              <w:right w:w="108" w:type="dxa"/>
            </w:tcMar>
            <w:vAlign w:val="center"/>
            <w:hideMark/>
          </w:tcPr>
          <w:p w14:paraId="31AFA976"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Кількість</w:t>
            </w:r>
          </w:p>
        </w:tc>
      </w:tr>
      <w:tr w:rsidR="000103E7" w:rsidRPr="00573F88" w14:paraId="4A64436B" w14:textId="77777777" w:rsidTr="007969C2">
        <w:trPr>
          <w:trHeight w:val="452"/>
        </w:trPr>
        <w:tc>
          <w:tcPr>
            <w:tcW w:w="0" w:type="auto"/>
            <w:tcBorders>
              <w:top w:val="single" w:sz="4" w:space="0" w:color="000001"/>
              <w:left w:val="single" w:sz="4" w:space="0" w:color="000001"/>
              <w:bottom w:val="single" w:sz="4" w:space="0" w:color="000001"/>
              <w:right w:val="single" w:sz="4" w:space="0" w:color="000000"/>
            </w:tcBorders>
            <w:tcMar>
              <w:top w:w="55" w:type="dxa"/>
              <w:left w:w="108" w:type="dxa"/>
              <w:bottom w:w="55" w:type="dxa"/>
              <w:right w:w="108" w:type="dxa"/>
            </w:tcMar>
            <w:hideMark/>
          </w:tcPr>
          <w:p w14:paraId="45769D91" w14:textId="77777777" w:rsidR="000103E7" w:rsidRPr="00573F88" w:rsidRDefault="000103E7" w:rsidP="007969C2">
            <w:pPr>
              <w:spacing w:after="0" w:line="240" w:lineRule="auto"/>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7287992B"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570BEA20"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7F21AFDA" w14:textId="77777777" w:rsidR="000103E7" w:rsidRPr="00573F88" w:rsidRDefault="000103E7" w:rsidP="007969C2">
            <w:pPr>
              <w:spacing w:after="0" w:line="240" w:lineRule="auto"/>
              <w:rPr>
                <w:rFonts w:ascii="Times New Roman" w:eastAsia="Times New Roman" w:hAnsi="Times New Roman" w:cs="Times New Roman"/>
                <w:sz w:val="24"/>
                <w:szCs w:val="24"/>
              </w:rPr>
            </w:pPr>
          </w:p>
        </w:tc>
      </w:tr>
      <w:tr w:rsidR="000103E7" w:rsidRPr="00573F88" w14:paraId="2955D2E8" w14:textId="77777777" w:rsidTr="007969C2">
        <w:tc>
          <w:tcPr>
            <w:tcW w:w="0" w:type="auto"/>
            <w:tcBorders>
              <w:top w:val="single" w:sz="4" w:space="0" w:color="000001"/>
              <w:left w:val="single" w:sz="4" w:space="0" w:color="000001"/>
              <w:bottom w:val="single" w:sz="4" w:space="0" w:color="000001"/>
              <w:right w:val="single" w:sz="4" w:space="0" w:color="000000"/>
            </w:tcBorders>
            <w:tcMar>
              <w:top w:w="55" w:type="dxa"/>
              <w:left w:w="108" w:type="dxa"/>
              <w:bottom w:w="55" w:type="dxa"/>
              <w:right w:w="108" w:type="dxa"/>
            </w:tcMar>
            <w:hideMark/>
          </w:tcPr>
          <w:p w14:paraId="037B3837"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29284F61"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0A79F4F6"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03B7481A" w14:textId="77777777" w:rsidR="000103E7" w:rsidRPr="00573F88" w:rsidRDefault="000103E7" w:rsidP="007969C2">
            <w:pPr>
              <w:spacing w:after="0" w:line="240" w:lineRule="auto"/>
              <w:rPr>
                <w:rFonts w:ascii="Times New Roman" w:eastAsia="Times New Roman" w:hAnsi="Times New Roman" w:cs="Times New Roman"/>
                <w:sz w:val="24"/>
                <w:szCs w:val="24"/>
              </w:rPr>
            </w:pPr>
          </w:p>
        </w:tc>
      </w:tr>
    </w:tbl>
    <w:p w14:paraId="5C88D05E" w14:textId="77777777" w:rsidR="000103E7" w:rsidRPr="00573F88" w:rsidRDefault="000103E7" w:rsidP="000103E7">
      <w:pPr>
        <w:shd w:val="clear" w:color="auto" w:fill="FFFFFF"/>
        <w:spacing w:after="0" w:line="240" w:lineRule="auto"/>
        <w:jc w:val="center"/>
        <w:rPr>
          <w:rFonts w:ascii="Times New Roman" w:eastAsia="Times New Roman" w:hAnsi="Times New Roman" w:cs="Times New Roman"/>
          <w:sz w:val="24"/>
          <w:szCs w:val="24"/>
        </w:rPr>
      </w:pPr>
    </w:p>
    <w:p w14:paraId="07AE87EF" w14:textId="77777777" w:rsidR="000103E7" w:rsidRPr="00573F88" w:rsidRDefault="000103E7" w:rsidP="000103E7">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 xml:space="preserve">ТЕХНІЧНА СПЕЦИФІКАЦІЯ </w:t>
      </w:r>
      <w:r w:rsidRPr="00573F88">
        <w:rPr>
          <w:rFonts w:ascii="Times New Roman" w:eastAsia="Times New Roman" w:hAnsi="Times New Roman" w:cs="Times New Roman"/>
          <w:color w:val="000000"/>
          <w:sz w:val="26"/>
          <w:szCs w:val="26"/>
        </w:rPr>
        <w:t>(технічні та якісні характеристики)</w:t>
      </w:r>
    </w:p>
    <w:p w14:paraId="4DA190DF" w14:textId="77777777" w:rsidR="000103E7" w:rsidRPr="00573F88" w:rsidRDefault="000103E7" w:rsidP="000103E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88"/>
        <w:gridCol w:w="1921"/>
        <w:gridCol w:w="1432"/>
        <w:gridCol w:w="3600"/>
        <w:gridCol w:w="2938"/>
      </w:tblGrid>
      <w:tr w:rsidR="000103E7" w:rsidRPr="00573F88" w14:paraId="3732E11C" w14:textId="77777777" w:rsidTr="007969C2">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hideMark/>
          </w:tcPr>
          <w:p w14:paraId="4A3FABEE"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w:t>
            </w:r>
          </w:p>
          <w:p w14:paraId="07B3990A"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з/п</w:t>
            </w:r>
            <w:r w:rsidRPr="00573F88">
              <w:rPr>
                <w:rFonts w:ascii="Times New Roman" w:eastAsia="Times New Roman" w:hAnsi="Times New Roman" w:cs="Times New Roman"/>
                <w:b/>
                <w:bCs/>
                <w:color w:val="000000"/>
                <w:sz w:val="24"/>
                <w:szCs w:val="24"/>
              </w:rPr>
              <w:tab/>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hideMark/>
          </w:tcPr>
          <w:p w14:paraId="1002C45E"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Найменування товару*</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108" w:type="dxa"/>
              <w:bottom w:w="55" w:type="dxa"/>
              <w:right w:w="108" w:type="dxa"/>
            </w:tcMar>
            <w:vAlign w:val="center"/>
            <w:hideMark/>
          </w:tcPr>
          <w:p w14:paraId="5533F24F"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Країна виробник</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hideMark/>
          </w:tcPr>
          <w:p w14:paraId="44E3A853"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hideMark/>
          </w:tcPr>
          <w:p w14:paraId="6CBD5A02"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Інформація про необхідні технічні та якісні характеристики*</w:t>
            </w:r>
          </w:p>
        </w:tc>
      </w:tr>
      <w:tr w:rsidR="000103E7" w:rsidRPr="00573F88" w14:paraId="06B8D2ED" w14:textId="77777777" w:rsidTr="007969C2">
        <w:trPr>
          <w:trHeight w:val="417"/>
        </w:trPr>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5F2B5AE"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Liberation Serif" w:eastAsia="Times New Roman" w:hAnsi="Liberation Serif" w:cs="Times New Roman"/>
                <w:color w:val="00000A"/>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B30AB21"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5521DF70"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F85AC59" w14:textId="77777777" w:rsidR="000103E7" w:rsidRPr="00573F88" w:rsidRDefault="000103E7" w:rsidP="007969C2">
            <w:pPr>
              <w:spacing w:after="0" w:line="240" w:lineRule="auto"/>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Відповідність ДСТУ та/або ТУ, та/або EN та/або іншому нормативному документу, який діє на території України</w:t>
            </w: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63191F3" w14:textId="77777777" w:rsidR="000103E7" w:rsidRPr="00573F88" w:rsidRDefault="000103E7" w:rsidP="007969C2">
            <w:pPr>
              <w:spacing w:after="0" w:line="240" w:lineRule="auto"/>
              <w:rPr>
                <w:rFonts w:ascii="Times New Roman" w:eastAsia="Times New Roman" w:hAnsi="Times New Roman" w:cs="Times New Roman"/>
                <w:sz w:val="24"/>
                <w:szCs w:val="24"/>
              </w:rPr>
            </w:pPr>
          </w:p>
        </w:tc>
      </w:tr>
      <w:tr w:rsidR="000103E7" w:rsidRPr="00573F88" w14:paraId="094F1657" w14:textId="77777777" w:rsidTr="007969C2">
        <w:trPr>
          <w:trHeight w:val="417"/>
        </w:trPr>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B8071AF"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996517F"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66C11F9E"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9E6F03B"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B9AB643" w14:textId="77777777" w:rsidR="000103E7" w:rsidRPr="00573F88" w:rsidRDefault="000103E7" w:rsidP="007969C2">
            <w:pPr>
              <w:spacing w:after="0" w:line="240" w:lineRule="auto"/>
              <w:rPr>
                <w:rFonts w:ascii="Times New Roman" w:eastAsia="Times New Roman" w:hAnsi="Times New Roman" w:cs="Times New Roman"/>
                <w:sz w:val="24"/>
                <w:szCs w:val="24"/>
              </w:rPr>
            </w:pPr>
          </w:p>
        </w:tc>
      </w:tr>
    </w:tbl>
    <w:p w14:paraId="3A18AD98" w14:textId="77777777" w:rsidR="000103E7" w:rsidRPr="00573F88" w:rsidRDefault="000103E7" w:rsidP="000103E7">
      <w:pPr>
        <w:spacing w:after="0" w:line="240" w:lineRule="auto"/>
        <w:rPr>
          <w:rFonts w:ascii="Times New Roman" w:eastAsia="Times New Roman" w:hAnsi="Times New Roman" w:cs="Times New Roman"/>
          <w:sz w:val="24"/>
          <w:szCs w:val="24"/>
        </w:rPr>
      </w:pPr>
    </w:p>
    <w:p w14:paraId="5FC87D94" w14:textId="77777777" w:rsidR="000103E7" w:rsidRPr="00573F88" w:rsidRDefault="000103E7" w:rsidP="000103E7">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 xml:space="preserve">Термін зберігання (придатності) </w:t>
      </w:r>
      <w:r w:rsidRPr="00573F88">
        <w:rPr>
          <w:rFonts w:ascii="Times New Roman" w:eastAsia="Times New Roman" w:hAnsi="Times New Roman" w:cs="Times New Roman"/>
          <w:color w:val="000000"/>
          <w:sz w:val="24"/>
          <w:szCs w:val="24"/>
          <w:shd w:val="clear" w:color="auto" w:fill="FFFFFF"/>
        </w:rPr>
        <w:t>товару</w:t>
      </w:r>
      <w:r w:rsidRPr="00573F88">
        <w:rPr>
          <w:rFonts w:ascii="Times New Roman" w:eastAsia="Times New Roman" w:hAnsi="Times New Roman" w:cs="Times New Roman"/>
          <w:color w:val="000000"/>
          <w:sz w:val="24"/>
          <w:szCs w:val="24"/>
        </w:rPr>
        <w:t xml:space="preserve"> на момент поставки складає не менше 75% від загального терміну зберігання (придатності).</w:t>
      </w:r>
    </w:p>
    <w:p w14:paraId="29867D0B" w14:textId="77777777" w:rsidR="000103E7" w:rsidRPr="00573F88" w:rsidRDefault="000103E7" w:rsidP="000103E7">
      <w:pPr>
        <w:spacing w:after="0" w:line="240" w:lineRule="auto"/>
        <w:rPr>
          <w:rFonts w:ascii="Times New Roman" w:eastAsia="Times New Roman" w:hAnsi="Times New Roman" w:cs="Times New Roman"/>
          <w:sz w:val="24"/>
          <w:szCs w:val="24"/>
        </w:rPr>
      </w:pPr>
    </w:p>
    <w:p w14:paraId="602D6AF8" w14:textId="2A5647F4" w:rsidR="000103E7" w:rsidRDefault="000103E7" w:rsidP="000103E7">
      <w:pPr>
        <w:spacing w:after="0" w:line="240" w:lineRule="auto"/>
        <w:jc w:val="both"/>
        <w:rPr>
          <w:rFonts w:ascii="Times New Roman" w:eastAsia="Times New Roman" w:hAnsi="Times New Roman" w:cs="Times New Roman"/>
          <w:i/>
          <w:iCs/>
          <w:color w:val="000000"/>
        </w:rPr>
      </w:pPr>
      <w:r w:rsidRPr="00573F88">
        <w:rPr>
          <w:rFonts w:ascii="Times New Roman" w:eastAsia="Times New Roman" w:hAnsi="Times New Roman" w:cs="Times New Roman"/>
          <w:i/>
          <w:iCs/>
          <w:color w:val="000000"/>
        </w:rPr>
        <w:t xml:space="preserve">У разі наявності в технічних, якісних та кількісних характеристиках, у тому числі Технічній специфікації </w:t>
      </w:r>
      <w:r w:rsidRPr="000103E7">
        <w:rPr>
          <w:rFonts w:ascii="Times New Roman" w:eastAsia="Times New Roman" w:hAnsi="Times New Roman" w:cs="Times New Roman"/>
          <w:i/>
          <w:iCs/>
          <w:color w:val="000000"/>
        </w:rPr>
        <w:t>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w:t>
      </w:r>
      <w:r>
        <w:rPr>
          <w:rFonts w:ascii="Times New Roman" w:eastAsia="Times New Roman" w:hAnsi="Times New Roman" w:cs="Times New Roman"/>
          <w:i/>
          <w:iCs/>
          <w:color w:val="000000"/>
        </w:rPr>
        <w:t xml:space="preserve"> </w:t>
      </w:r>
      <w:r w:rsidRPr="000103E7">
        <w:rPr>
          <w:rFonts w:ascii="Times New Roman" w:eastAsia="Times New Roman" w:hAnsi="Times New Roman" w:cs="Times New Roman"/>
          <w:i/>
          <w:iCs/>
          <w:color w:val="000000"/>
        </w:rPr>
        <w:t>воно повинно бути обґрунтованим та містити вираз "або еквівалент".</w:t>
      </w:r>
    </w:p>
    <w:p w14:paraId="78E2A80F" w14:textId="77777777" w:rsidR="000103E7" w:rsidRPr="00573F88" w:rsidRDefault="000103E7" w:rsidP="000103E7">
      <w:pPr>
        <w:spacing w:after="0" w:line="240" w:lineRule="auto"/>
        <w:jc w:val="both"/>
        <w:rPr>
          <w:rFonts w:ascii="Times New Roman" w:eastAsia="Times New Roman" w:hAnsi="Times New Roman" w:cs="Times New Roman"/>
          <w:sz w:val="24"/>
          <w:szCs w:val="24"/>
        </w:rPr>
      </w:pPr>
    </w:p>
    <w:p w14:paraId="496D9106" w14:textId="77777777" w:rsidR="000103E7" w:rsidRPr="00573F88" w:rsidRDefault="000103E7" w:rsidP="000103E7">
      <w:pPr>
        <w:spacing w:after="0" w:line="240" w:lineRule="auto"/>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8"/>
          <w:szCs w:val="28"/>
        </w:rPr>
        <w:t>Учасник погоджується з умовами та положеннями даного додатку, про що надає лист - гарантію у довільній формі про згоду з умовами та вимогами, які визначені у цьому додатку, та гарантування їх виконання.</w:t>
      </w:r>
    </w:p>
    <w:p w14:paraId="0B61605C" w14:textId="77777777" w:rsidR="000103E7" w:rsidRPr="00573F88" w:rsidRDefault="000103E7" w:rsidP="000103E7">
      <w:pPr>
        <w:spacing w:after="0" w:line="240" w:lineRule="auto"/>
        <w:rPr>
          <w:rFonts w:ascii="Times New Roman" w:eastAsia="Times New Roman" w:hAnsi="Times New Roman" w:cs="Times New Roman"/>
          <w:sz w:val="24"/>
          <w:szCs w:val="24"/>
        </w:rPr>
      </w:pPr>
    </w:p>
    <w:p w14:paraId="31BA6058" w14:textId="77777777" w:rsidR="000103E7" w:rsidRPr="00573F88" w:rsidRDefault="000103E7" w:rsidP="000103E7">
      <w:pPr>
        <w:spacing w:after="0" w:line="240" w:lineRule="auto"/>
        <w:jc w:val="both"/>
        <w:rPr>
          <w:rFonts w:ascii="Times New Roman" w:eastAsia="Times New Roman" w:hAnsi="Times New Roman" w:cs="Times New Roman"/>
          <w:sz w:val="24"/>
          <w:szCs w:val="24"/>
        </w:rPr>
      </w:pPr>
      <w:r w:rsidRPr="00573F88">
        <w:rPr>
          <w:rFonts w:eastAsia="Times New Roman"/>
          <w:color w:val="000000"/>
          <w:sz w:val="24"/>
          <w:szCs w:val="24"/>
        </w:rPr>
        <w:t> </w:t>
      </w:r>
      <w:r w:rsidRPr="00573F88">
        <w:rPr>
          <w:rFonts w:ascii="Times New Roman" w:eastAsia="Times New Roman" w:hAnsi="Times New Roman" w:cs="Times New Roman"/>
          <w:b/>
          <w:bCs/>
          <w:i/>
          <w:iCs/>
          <w:color w:val="000000"/>
          <w:sz w:val="24"/>
          <w:szCs w:val="24"/>
        </w:rPr>
        <w:t>*у разі якщо запропонований Учасником товар, його найменування, технічні, якісні характеристики відрізняється від найменування товару, технічних, якісних характеристик зазначеного Замовником обов'язково надається порівняльна  таблиця за зразком:</w:t>
      </w:r>
    </w:p>
    <w:p w14:paraId="560EEF47" w14:textId="77777777" w:rsidR="000103E7" w:rsidRPr="00573F88" w:rsidRDefault="000103E7" w:rsidP="000103E7">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87"/>
        <w:gridCol w:w="2425"/>
        <w:gridCol w:w="2495"/>
        <w:gridCol w:w="2480"/>
        <w:gridCol w:w="2592"/>
      </w:tblGrid>
      <w:tr w:rsidR="000103E7" w:rsidRPr="00573F88" w14:paraId="36B5D8BD" w14:textId="77777777" w:rsidTr="007969C2">
        <w:trPr>
          <w:trHeight w:val="1204"/>
        </w:trPr>
        <w:tc>
          <w:tcPr>
            <w:tcW w:w="0" w:type="auto"/>
            <w:tcBorders>
              <w:top w:val="single" w:sz="4" w:space="0" w:color="000000"/>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vAlign w:val="center"/>
            <w:hideMark/>
          </w:tcPr>
          <w:p w14:paraId="15FE526F"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18"/>
                <w:szCs w:val="18"/>
              </w:rPr>
              <w:t>№ з/п</w:t>
            </w:r>
          </w:p>
        </w:tc>
        <w:tc>
          <w:tcPr>
            <w:tcW w:w="0" w:type="auto"/>
            <w:tcBorders>
              <w:top w:val="single" w:sz="4" w:space="0" w:color="000000"/>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vAlign w:val="center"/>
            <w:hideMark/>
          </w:tcPr>
          <w:p w14:paraId="58AD256B"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18"/>
                <w:szCs w:val="18"/>
              </w:rPr>
              <w:t>Найменування та відповідність стандарту товару, зазначеного замовником </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hideMark/>
          </w:tcPr>
          <w:p w14:paraId="05816373"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18"/>
                <w:szCs w:val="18"/>
              </w:rPr>
              <w:t>Інформація про технічні та якісні характеристики товару, зазначена замовником</w:t>
            </w:r>
          </w:p>
        </w:tc>
        <w:tc>
          <w:tcPr>
            <w:tcW w:w="0" w:type="auto"/>
            <w:tcBorders>
              <w:top w:val="single" w:sz="4" w:space="0" w:color="000000"/>
              <w:left w:val="single" w:sz="4" w:space="0" w:color="000000"/>
              <w:bottom w:val="single" w:sz="4" w:space="0" w:color="000000"/>
              <w:right w:val="single" w:sz="4" w:space="0" w:color="000000"/>
            </w:tcBorders>
            <w:shd w:val="clear" w:color="auto" w:fill="DDDDDD"/>
            <w:tcMar>
              <w:top w:w="55" w:type="dxa"/>
              <w:left w:w="108" w:type="dxa"/>
              <w:bottom w:w="55" w:type="dxa"/>
              <w:right w:w="108" w:type="dxa"/>
            </w:tcMar>
            <w:vAlign w:val="center"/>
            <w:hideMark/>
          </w:tcPr>
          <w:p w14:paraId="4FD0E3A1"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18"/>
                <w:szCs w:val="18"/>
              </w:rPr>
              <w:t>Найменування та відповідність стандарту товару, що пропонується учасником</w:t>
            </w:r>
          </w:p>
        </w:tc>
        <w:tc>
          <w:tcPr>
            <w:tcW w:w="0" w:type="auto"/>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hideMark/>
          </w:tcPr>
          <w:p w14:paraId="1BB981D0"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18"/>
                <w:szCs w:val="18"/>
              </w:rPr>
              <w:t>Інформація про технічні та якісні характеристики товару, що пропонується учасником</w:t>
            </w:r>
          </w:p>
        </w:tc>
      </w:tr>
      <w:tr w:rsidR="000103E7" w:rsidRPr="00573F88" w14:paraId="67DE6A45" w14:textId="77777777" w:rsidTr="007969C2">
        <w:trPr>
          <w:trHeight w:val="454"/>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79488BC5" w14:textId="77777777" w:rsidR="000103E7" w:rsidRPr="00573F88" w:rsidRDefault="000103E7" w:rsidP="007969C2">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6F26FED9"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460BB574"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4A3D0F43"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237F5B4D" w14:textId="77777777" w:rsidR="000103E7" w:rsidRPr="00573F88" w:rsidRDefault="000103E7" w:rsidP="007969C2">
            <w:pPr>
              <w:spacing w:after="240" w:line="240" w:lineRule="auto"/>
              <w:rPr>
                <w:rFonts w:ascii="Times New Roman" w:eastAsia="Times New Roman" w:hAnsi="Times New Roman" w:cs="Times New Roman"/>
                <w:sz w:val="24"/>
                <w:szCs w:val="24"/>
              </w:rPr>
            </w:pPr>
          </w:p>
        </w:tc>
      </w:tr>
      <w:tr w:rsidR="000103E7" w:rsidRPr="00573F88" w14:paraId="24A7ACF4" w14:textId="77777777" w:rsidTr="007969C2">
        <w:trPr>
          <w:trHeight w:val="818"/>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5A9FB5FA"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3C151AA7"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10AC428D"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vAlign w:val="center"/>
            <w:hideMark/>
          </w:tcPr>
          <w:p w14:paraId="3B81D272" w14:textId="77777777" w:rsidR="000103E7" w:rsidRPr="00573F88" w:rsidRDefault="000103E7" w:rsidP="007969C2">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7E73343B" w14:textId="77777777" w:rsidR="000103E7" w:rsidRPr="00573F88" w:rsidRDefault="000103E7" w:rsidP="007969C2">
            <w:pPr>
              <w:spacing w:after="0" w:line="240" w:lineRule="auto"/>
              <w:rPr>
                <w:rFonts w:ascii="Times New Roman" w:eastAsia="Times New Roman" w:hAnsi="Times New Roman" w:cs="Times New Roman"/>
                <w:sz w:val="24"/>
                <w:szCs w:val="24"/>
              </w:rPr>
            </w:pPr>
          </w:p>
        </w:tc>
      </w:tr>
    </w:tbl>
    <w:p w14:paraId="710B1688" w14:textId="77777777" w:rsidR="000103E7" w:rsidRDefault="000103E7"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p>
    <w:p w14:paraId="43D0CA1C" w14:textId="3D89FBC2" w:rsidR="000103E7" w:rsidRDefault="000103E7"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r w:rsidRPr="000103E7">
        <w:rPr>
          <w:rFonts w:ascii="Times New Roman" w:eastAsia="Times New Roman" w:hAnsi="Times New Roman" w:cs="Times New Roman"/>
          <w:b/>
          <w:bCs/>
          <w:color w:val="000000"/>
          <w:sz w:val="24"/>
          <w:szCs w:val="24"/>
          <w:highlight w:val="yellow"/>
        </w:rPr>
        <w:t>Замовник</w:t>
      </w:r>
      <w:r>
        <w:rPr>
          <w:rFonts w:ascii="Times New Roman" w:eastAsia="Times New Roman" w:hAnsi="Times New Roman" w:cs="Times New Roman"/>
          <w:b/>
          <w:bCs/>
          <w:color w:val="000000"/>
          <w:sz w:val="24"/>
          <w:szCs w:val="24"/>
          <w:highlight w:val="yellow"/>
        </w:rPr>
        <w:t xml:space="preserve"> може прописати інші вимоги щодо підтвердження технічних вимог, у разі якщо воно необхідне для закупівлі товару</w:t>
      </w:r>
      <w:r w:rsidR="00D52FCB">
        <w:rPr>
          <w:rFonts w:ascii="Times New Roman" w:eastAsia="Times New Roman" w:hAnsi="Times New Roman" w:cs="Times New Roman"/>
          <w:b/>
          <w:bCs/>
          <w:color w:val="000000"/>
          <w:sz w:val="24"/>
          <w:szCs w:val="24"/>
          <w:highlight w:val="yellow"/>
        </w:rPr>
        <w:t xml:space="preserve"> та послуг</w:t>
      </w:r>
      <w:r>
        <w:rPr>
          <w:rFonts w:ascii="Times New Roman" w:eastAsia="Times New Roman" w:hAnsi="Times New Roman" w:cs="Times New Roman"/>
          <w:b/>
          <w:bCs/>
          <w:color w:val="000000"/>
          <w:sz w:val="24"/>
          <w:szCs w:val="24"/>
          <w:highlight w:val="yellow"/>
        </w:rPr>
        <w:t xml:space="preserve"> (наявність сервісного центру, гарантійний термін експлуатації, умови поставки</w:t>
      </w:r>
      <w:r w:rsidR="00D52FCB">
        <w:rPr>
          <w:rFonts w:ascii="Times New Roman" w:eastAsia="Times New Roman" w:hAnsi="Times New Roman" w:cs="Times New Roman"/>
          <w:b/>
          <w:bCs/>
          <w:color w:val="000000"/>
          <w:sz w:val="24"/>
          <w:szCs w:val="24"/>
          <w:highlight w:val="yellow"/>
        </w:rPr>
        <w:t xml:space="preserve">). При роботах та послугах з поточного ремонту слід встановити вимоги щодо надання ліцензії на виконання робіт з відповідним класом наслідків та за видами робіт, дозволів на виконання будівельних робіт чи </w:t>
      </w:r>
      <w:r w:rsidR="00D52FCB">
        <w:rPr>
          <w:rFonts w:ascii="Times New Roman" w:eastAsia="Times New Roman" w:hAnsi="Times New Roman" w:cs="Times New Roman"/>
          <w:b/>
          <w:bCs/>
          <w:color w:val="000000"/>
          <w:sz w:val="24"/>
          <w:szCs w:val="24"/>
        </w:rPr>
        <w:t>д</w:t>
      </w:r>
      <w:r w:rsidR="00D52FCB" w:rsidRPr="00D52FCB">
        <w:rPr>
          <w:rFonts w:ascii="Times New Roman" w:eastAsia="Times New Roman" w:hAnsi="Times New Roman" w:cs="Times New Roman"/>
          <w:b/>
          <w:bCs/>
          <w:color w:val="000000"/>
          <w:sz w:val="24"/>
          <w:szCs w:val="24"/>
        </w:rPr>
        <w:t>еклараці</w:t>
      </w:r>
      <w:r w:rsidR="00D52FCB">
        <w:rPr>
          <w:rFonts w:ascii="Times New Roman" w:eastAsia="Times New Roman" w:hAnsi="Times New Roman" w:cs="Times New Roman"/>
          <w:b/>
          <w:bCs/>
          <w:color w:val="000000"/>
          <w:sz w:val="24"/>
          <w:szCs w:val="24"/>
        </w:rPr>
        <w:t>ї</w:t>
      </w:r>
      <w:r w:rsidR="00D52FCB" w:rsidRPr="00D52FCB">
        <w:rPr>
          <w:rFonts w:ascii="Times New Roman" w:eastAsia="Times New Roman" w:hAnsi="Times New Roman" w:cs="Times New Roman"/>
          <w:b/>
          <w:bCs/>
          <w:color w:val="000000"/>
          <w:sz w:val="24"/>
          <w:szCs w:val="24"/>
        </w:rPr>
        <w:t xml:space="preserve"> відповідності матеріально-технічної бази вимогам законодавства</w:t>
      </w:r>
    </w:p>
    <w:p w14:paraId="33A60EC4" w14:textId="77777777" w:rsidR="000103E7" w:rsidRDefault="000103E7"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p>
    <w:p w14:paraId="54A0B588" w14:textId="77777777" w:rsidR="000103E7" w:rsidRDefault="000103E7"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p>
    <w:p w14:paraId="5F204FFB" w14:textId="65126D69" w:rsidR="000103E7" w:rsidRPr="00573F88" w:rsidRDefault="000103E7" w:rsidP="000103E7">
      <w:pPr>
        <w:shd w:val="clear" w:color="auto" w:fill="FFFFFF"/>
        <w:spacing w:after="0" w:line="240" w:lineRule="auto"/>
        <w:jc w:val="right"/>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Додаток №</w:t>
      </w:r>
      <w:r w:rsidR="00ED7F50">
        <w:rPr>
          <w:rFonts w:ascii="Times New Roman" w:eastAsia="Times New Roman" w:hAnsi="Times New Roman" w:cs="Times New Roman"/>
          <w:b/>
          <w:bCs/>
          <w:color w:val="000000"/>
          <w:sz w:val="26"/>
          <w:szCs w:val="26"/>
        </w:rPr>
        <w:t>2</w:t>
      </w:r>
    </w:p>
    <w:p w14:paraId="75A92B71" w14:textId="77777777" w:rsidR="000103E7" w:rsidRPr="00573F88" w:rsidRDefault="000103E7" w:rsidP="000103E7">
      <w:pPr>
        <w:shd w:val="clear" w:color="auto" w:fill="FFFFFF"/>
        <w:spacing w:after="0" w:line="240" w:lineRule="auto"/>
        <w:jc w:val="right"/>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до тендерної документації</w:t>
      </w:r>
    </w:p>
    <w:p w14:paraId="07CB0DC9" w14:textId="77777777" w:rsidR="000103E7" w:rsidRDefault="000103E7"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p>
    <w:p w14:paraId="10DA420D" w14:textId="77777777" w:rsidR="000103E7" w:rsidRDefault="000103E7"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p>
    <w:p w14:paraId="61816F74" w14:textId="2176A3B7" w:rsidR="00573F88" w:rsidRPr="00573F88" w:rsidRDefault="00573F88" w:rsidP="000103E7">
      <w:pPr>
        <w:shd w:val="clear" w:color="auto" w:fill="FFFFFF"/>
        <w:spacing w:line="240" w:lineRule="auto"/>
        <w:jc w:val="both"/>
        <w:textAlignment w:val="baseline"/>
        <w:rPr>
          <w:rFonts w:ascii="Times New Roman" w:eastAsia="Times New Roman" w:hAnsi="Times New Roman" w:cs="Times New Roman"/>
          <w:b/>
          <w:bCs/>
          <w:color w:val="000000"/>
          <w:sz w:val="24"/>
          <w:szCs w:val="24"/>
        </w:rPr>
      </w:pPr>
      <w:r w:rsidRPr="00573F88">
        <w:rPr>
          <w:rFonts w:ascii="Times New Roman" w:eastAsia="Times New Roman" w:hAnsi="Times New Roman" w:cs="Times New Roman"/>
          <w:b/>
          <w:bCs/>
          <w:color w:val="000000"/>
          <w:sz w:val="24"/>
          <w:szCs w:val="24"/>
        </w:rPr>
        <w:t>Перелік документів та інформації, що має надати Переможець торгів.</w:t>
      </w:r>
    </w:p>
    <w:p w14:paraId="3D9D9DD1"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підпунктах 3, 5, 6 і 12 пункту 47 Особливостей.</w:t>
      </w:r>
    </w:p>
    <w:p w14:paraId="62BC2B3F"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67D4054C"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Документи, які надаються ПЕРЕМОЖЦЕМ (юридичною особою):</w:t>
      </w:r>
    </w:p>
    <w:p w14:paraId="4BDC26A6"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6"/>
        <w:gridCol w:w="4761"/>
        <w:gridCol w:w="5112"/>
      </w:tblGrid>
      <w:tr w:rsidR="00573F88" w:rsidRPr="00573F88" w14:paraId="459C1BC5" w14:textId="77777777" w:rsidTr="00573F88">
        <w:trPr>
          <w:trHeight w:val="1309"/>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57C399AD"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18"/>
                <w:szCs w:val="18"/>
              </w:rPr>
              <w:t>№з/п</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05EB66DB"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Вимоги згідно п.47 Особливостей</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32D58D57"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 xml:space="preserve">Переможець повинен надати замовнику шляхом оприлюднення в електронній системі закупівель документи, що підтверджують відсутність підстав, згідно в п. </w:t>
            </w:r>
            <w:r w:rsidRPr="00573F88">
              <w:rPr>
                <w:rFonts w:ascii="Times New Roman" w:eastAsia="Times New Roman" w:hAnsi="Times New Roman" w:cs="Times New Roman"/>
                <w:color w:val="000000"/>
                <w:sz w:val="24"/>
                <w:szCs w:val="24"/>
              </w:rPr>
              <w:t>47 Особливостей</w:t>
            </w:r>
          </w:p>
        </w:tc>
      </w:tr>
      <w:tr w:rsidR="00573F88" w:rsidRPr="00573F88" w14:paraId="13FB7C53" w14:textId="77777777" w:rsidTr="00573F88">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10E23441"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50FB535D"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BA0800"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w:t>
            </w:r>
            <w:r w:rsidRPr="00573F88">
              <w:rPr>
                <w:rFonts w:ascii="Times New Roman" w:eastAsia="Times New Roman" w:hAnsi="Times New Roman" w:cs="Times New Roman"/>
                <w:b/>
                <w:bCs/>
                <w:color w:val="333333"/>
                <w:sz w:val="24"/>
                <w:szCs w:val="24"/>
              </w:rPr>
              <w:t>підпункт 3 пункт 47 Особливостей</w:t>
            </w:r>
            <w:r w:rsidRPr="00573F88">
              <w:rPr>
                <w:rFonts w:ascii="Times New Roman" w:eastAsia="Times New Roman" w:hAnsi="Times New Roman" w:cs="Times New Roman"/>
                <w:color w:val="333333"/>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7FD1D372"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Перевіряється безпосередньо замовником самостійно, крім випадків, коли доступ до такої інформації є обмеженим</w:t>
            </w:r>
            <w:r w:rsidRPr="00573F88">
              <w:rPr>
                <w:rFonts w:ascii="Times New Roman" w:eastAsia="Times New Roman" w:hAnsi="Times New Roman" w:cs="Times New Roman"/>
                <w:color w:val="000000"/>
                <w:sz w:val="24"/>
                <w:szCs w:val="24"/>
              </w:rPr>
              <w:t>*.</w:t>
            </w:r>
          </w:p>
          <w:p w14:paraId="2FA9A863"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i/>
                <w:iCs/>
                <w:color w:val="000000"/>
                <w:sz w:val="24"/>
                <w:szCs w:val="24"/>
              </w:rPr>
              <w:t>*З 04.09.2023 р. Національне агентство з питань запобігання корупції (НАЗК) відкрило доступ до Реєстру осіб, які вчинили корупційні та пов’язані з корупцією правопорушення, з урахуванням безпекових аспектів. Проте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w:t>
            </w:r>
          </w:p>
          <w:p w14:paraId="1AADAE11"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i/>
                <w:iCs/>
                <w:color w:val="000000"/>
                <w:sz w:val="24"/>
                <w:szCs w:val="24"/>
              </w:rPr>
              <w:t>Таким чином у разі якщо інформаційні, інформаційно-комунікаційні та електронні комунікаційні системи, публічні електронні реєстри будуть зупинені або, обмежать свою роботу, то 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на виконання пункту 47 Особливостей надається переможцем торгів.</w:t>
            </w:r>
          </w:p>
        </w:tc>
      </w:tr>
      <w:tr w:rsidR="00573F88" w:rsidRPr="00573F88" w14:paraId="42CF8E89" w14:textId="77777777" w:rsidTr="00573F88">
        <w:trPr>
          <w:trHeight w:val="2769"/>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31DD2DD5"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0D340844"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02DE1E9"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w:t>
            </w:r>
            <w:r w:rsidRPr="00573F88">
              <w:rPr>
                <w:rFonts w:ascii="Times New Roman" w:eastAsia="Times New Roman" w:hAnsi="Times New Roman" w:cs="Times New Roman"/>
                <w:b/>
                <w:bCs/>
                <w:color w:val="333333"/>
                <w:sz w:val="24"/>
                <w:szCs w:val="24"/>
              </w:rPr>
              <w:t>підпункт 6 пункт 47 Особливостей</w:t>
            </w:r>
            <w:r w:rsidRPr="00573F88">
              <w:rPr>
                <w:rFonts w:ascii="Times New Roman" w:eastAsia="Times New Roman" w:hAnsi="Times New Roman" w:cs="Times New Roman"/>
                <w:color w:val="333333"/>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1B406CE1"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119DC749"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керівника учасника процедури закупівлі. </w:t>
            </w:r>
          </w:p>
          <w:p w14:paraId="6CF3034C"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41D27B43"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 xml:space="preserve">Документ повинен бути не більше </w:t>
            </w:r>
            <w:proofErr w:type="spellStart"/>
            <w:r w:rsidRPr="00573F88">
              <w:rPr>
                <w:rFonts w:ascii="Times New Roman" w:eastAsia="Times New Roman" w:hAnsi="Times New Roman" w:cs="Times New Roman"/>
                <w:b/>
                <w:bCs/>
                <w:color w:val="000000"/>
                <w:sz w:val="24"/>
                <w:szCs w:val="24"/>
              </w:rPr>
              <w:t>тридцятиденної</w:t>
            </w:r>
            <w:proofErr w:type="spellEnd"/>
            <w:r w:rsidRPr="00573F88">
              <w:rPr>
                <w:rFonts w:ascii="Times New Roman" w:eastAsia="Times New Roman" w:hAnsi="Times New Roman" w:cs="Times New Roman"/>
                <w:b/>
                <w:bCs/>
                <w:color w:val="000000"/>
                <w:sz w:val="24"/>
                <w:szCs w:val="24"/>
              </w:rPr>
              <w:t xml:space="preserve"> давнини відносно дати подання документа.</w:t>
            </w:r>
          </w:p>
        </w:tc>
      </w:tr>
      <w:tr w:rsidR="00573F88" w:rsidRPr="00573F88" w14:paraId="561CCA77" w14:textId="77777777" w:rsidTr="00573F88">
        <w:trPr>
          <w:trHeight w:val="2553"/>
        </w:trPr>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2F9BE567"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55" w:type="dxa"/>
              <w:left w:w="108" w:type="dxa"/>
              <w:bottom w:w="55" w:type="dxa"/>
              <w:right w:w="108" w:type="dxa"/>
            </w:tcMar>
            <w:hideMark/>
          </w:tcPr>
          <w:p w14:paraId="0ABC6CC6"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9A59EED"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w:t>
            </w:r>
            <w:r w:rsidRPr="00573F88">
              <w:rPr>
                <w:rFonts w:ascii="Times New Roman" w:eastAsia="Times New Roman" w:hAnsi="Times New Roman" w:cs="Times New Roman"/>
                <w:b/>
                <w:bCs/>
                <w:color w:val="333333"/>
                <w:sz w:val="24"/>
                <w:szCs w:val="24"/>
              </w:rPr>
              <w:t>підпункт 12 пункт 47 Особливостей</w:t>
            </w:r>
            <w:r w:rsidRPr="00573F88">
              <w:rPr>
                <w:rFonts w:ascii="Times New Roman" w:eastAsia="Times New Roman" w:hAnsi="Times New Roman" w:cs="Times New Roman"/>
                <w:color w:val="333333"/>
                <w:sz w:val="24"/>
                <w:szCs w:val="24"/>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CED05F" w14:textId="77777777" w:rsidR="00573F88" w:rsidRPr="00573F88" w:rsidRDefault="00573F88" w:rsidP="00573F88">
            <w:pPr>
              <w:spacing w:after="0" w:line="240" w:lineRule="auto"/>
              <w:rPr>
                <w:rFonts w:ascii="Times New Roman" w:eastAsia="Times New Roman" w:hAnsi="Times New Roman" w:cs="Times New Roman"/>
                <w:sz w:val="24"/>
                <w:szCs w:val="24"/>
              </w:rPr>
            </w:pPr>
          </w:p>
        </w:tc>
      </w:tr>
    </w:tbl>
    <w:p w14:paraId="29901E09"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18DCFAD7"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708FCD17" w14:textId="77777777" w:rsidR="00573F88" w:rsidRPr="00573F88" w:rsidRDefault="00573F88" w:rsidP="00573F88">
      <w:pPr>
        <w:spacing w:before="24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rPr>
        <w:t>Документи, які надаються ПЕРЕМОЖЦЕМ (фізичною особою чи фізичною особою — підприємцем)</w:t>
      </w:r>
      <w:r w:rsidRPr="00573F88">
        <w:rPr>
          <w:rFonts w:ascii="Times New Roman" w:eastAsia="Times New Roman" w:hAnsi="Times New Roman" w:cs="Times New Roman"/>
          <w:b/>
          <w:bCs/>
          <w:color w:val="000000"/>
          <w:sz w:val="20"/>
          <w:szCs w:val="20"/>
        </w:rPr>
        <w:t>:</w:t>
      </w:r>
    </w:p>
    <w:tbl>
      <w:tblPr>
        <w:tblW w:w="0" w:type="auto"/>
        <w:tblCellMar>
          <w:top w:w="15" w:type="dxa"/>
          <w:left w:w="15" w:type="dxa"/>
          <w:bottom w:w="15" w:type="dxa"/>
          <w:right w:w="15" w:type="dxa"/>
        </w:tblCellMar>
        <w:tblLook w:val="04A0" w:firstRow="1" w:lastRow="0" w:firstColumn="1" w:lastColumn="0" w:noHBand="0" w:noVBand="1"/>
      </w:tblPr>
      <w:tblGrid>
        <w:gridCol w:w="591"/>
        <w:gridCol w:w="4701"/>
        <w:gridCol w:w="5177"/>
      </w:tblGrid>
      <w:tr w:rsidR="00573F88" w:rsidRPr="00573F88" w14:paraId="1A69979E" w14:textId="77777777" w:rsidTr="00573F88">
        <w:trPr>
          <w:trHeight w:val="1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BD407" w14:textId="77777777" w:rsidR="00573F88" w:rsidRPr="00573F88" w:rsidRDefault="00573F88" w:rsidP="00573F88">
            <w:pPr>
              <w:spacing w:after="0" w:line="240" w:lineRule="auto"/>
              <w:ind w:left="-12" w:right="-138"/>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18"/>
                <w:szCs w:val="18"/>
              </w:rPr>
              <w:t>№з/п</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2074E" w14:textId="77777777" w:rsidR="00573F88" w:rsidRPr="00573F88" w:rsidRDefault="00573F88" w:rsidP="00573F88">
            <w:pPr>
              <w:spacing w:before="120"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Вимоги згідно п.47 Особливостей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F115B" w14:textId="77777777" w:rsidR="00573F88" w:rsidRPr="00573F88" w:rsidRDefault="00573F88" w:rsidP="00573F88">
            <w:pPr>
              <w:spacing w:after="0" w:line="240" w:lineRule="auto"/>
              <w:ind w:right="140"/>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 xml:space="preserve">Переможець повинен надати замовнику шляхом оприлюднення в електронній системі закупівель документи, що підтверджують відсутність підстав, згідно в п. </w:t>
            </w:r>
            <w:r w:rsidRPr="00573F88">
              <w:rPr>
                <w:rFonts w:ascii="Times New Roman" w:eastAsia="Times New Roman" w:hAnsi="Times New Roman" w:cs="Times New Roman"/>
                <w:color w:val="000000"/>
                <w:sz w:val="24"/>
                <w:szCs w:val="24"/>
              </w:rPr>
              <w:t>47 Особливостей</w:t>
            </w:r>
          </w:p>
        </w:tc>
      </w:tr>
      <w:tr w:rsidR="00573F88" w:rsidRPr="00573F88" w14:paraId="6443A767" w14:textId="77777777" w:rsidTr="00573F88">
        <w:trPr>
          <w:trHeight w:val="292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A4DC8"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6D323"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12CECB9F"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w:t>
            </w:r>
            <w:r w:rsidRPr="00573F88">
              <w:rPr>
                <w:rFonts w:ascii="Times New Roman" w:eastAsia="Times New Roman" w:hAnsi="Times New Roman" w:cs="Times New Roman"/>
                <w:b/>
                <w:bCs/>
                <w:color w:val="333333"/>
                <w:sz w:val="24"/>
                <w:szCs w:val="24"/>
              </w:rPr>
              <w:t>підпункт 3 пункт 47 Особливостей</w:t>
            </w:r>
            <w:r w:rsidRPr="00573F88">
              <w:rPr>
                <w:rFonts w:ascii="Times New Roman" w:eastAsia="Times New Roman" w:hAnsi="Times New Roman" w:cs="Times New Roman"/>
                <w:color w:val="333333"/>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64770"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48CF61C3" w14:textId="77777777" w:rsidR="00573F88" w:rsidRPr="00573F88" w:rsidRDefault="00573F88" w:rsidP="00573F88">
            <w:pPr>
              <w:spacing w:after="0" w:line="240" w:lineRule="auto"/>
              <w:rPr>
                <w:rFonts w:ascii="Times New Roman" w:eastAsia="Times New Roman" w:hAnsi="Times New Roman" w:cs="Times New Roman"/>
                <w:sz w:val="24"/>
                <w:szCs w:val="24"/>
              </w:rPr>
            </w:pPr>
          </w:p>
          <w:p w14:paraId="56E65A05"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Довідка надається в період відсутності функціональної можливості перевірки інформації на веб-ресурсі Єдиного державного реєстру осіб, які вчинили корупційні або пов’язані з корупцією правопорушення, яка не стосується запитувача.</w:t>
            </w:r>
          </w:p>
          <w:p w14:paraId="5E184609"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Документ повинен містити інформацію станом на дату не раніше дня оприлюднення оголошення про проведення цих відкритих торгів в електронній системі закупівель.</w:t>
            </w:r>
          </w:p>
        </w:tc>
      </w:tr>
      <w:tr w:rsidR="00573F88" w:rsidRPr="00573F88" w14:paraId="1D58C63F" w14:textId="77777777" w:rsidTr="00573F88">
        <w:trPr>
          <w:trHeight w:val="17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9F5FC"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E76AC"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507B922E"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w:t>
            </w:r>
            <w:r w:rsidRPr="00573F88">
              <w:rPr>
                <w:rFonts w:ascii="Times New Roman" w:eastAsia="Times New Roman" w:hAnsi="Times New Roman" w:cs="Times New Roman"/>
                <w:b/>
                <w:bCs/>
                <w:color w:val="333333"/>
                <w:sz w:val="24"/>
                <w:szCs w:val="24"/>
              </w:rPr>
              <w:t>підпункт 5 пункт 47 Особливостей</w:t>
            </w:r>
            <w:r w:rsidRPr="00573F88">
              <w:rPr>
                <w:rFonts w:ascii="Times New Roman" w:eastAsia="Times New Roman" w:hAnsi="Times New Roman" w:cs="Times New Roman"/>
                <w:color w:val="333333"/>
                <w:sz w:val="24"/>
                <w:szCs w:val="24"/>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3C58E"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4"/>
                <w:szCs w:val="24"/>
              </w:rPr>
              <w:t>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38DEA011"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4FAF90F4"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 xml:space="preserve">Документ повинен бути не більше </w:t>
            </w:r>
            <w:proofErr w:type="spellStart"/>
            <w:r w:rsidRPr="00573F88">
              <w:rPr>
                <w:rFonts w:ascii="Times New Roman" w:eastAsia="Times New Roman" w:hAnsi="Times New Roman" w:cs="Times New Roman"/>
                <w:color w:val="000000"/>
                <w:sz w:val="24"/>
                <w:szCs w:val="24"/>
              </w:rPr>
              <w:t>тридцятиденної</w:t>
            </w:r>
            <w:proofErr w:type="spellEnd"/>
            <w:r w:rsidRPr="00573F88">
              <w:rPr>
                <w:rFonts w:ascii="Times New Roman" w:eastAsia="Times New Roman" w:hAnsi="Times New Roman" w:cs="Times New Roman"/>
                <w:color w:val="000000"/>
                <w:sz w:val="24"/>
                <w:szCs w:val="24"/>
              </w:rPr>
              <w:t xml:space="preserve"> давнини відносно дати подання документа.</w:t>
            </w:r>
          </w:p>
        </w:tc>
      </w:tr>
      <w:tr w:rsidR="00573F88" w:rsidRPr="00573F88" w14:paraId="6F50C8F7" w14:textId="77777777" w:rsidTr="00573F88">
        <w:trPr>
          <w:trHeight w:val="17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A1E0C" w14:textId="77777777" w:rsidR="00573F88" w:rsidRPr="00573F88" w:rsidRDefault="00573F88" w:rsidP="00573F88">
            <w:pPr>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1FB749"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37C727FD" w14:textId="77777777" w:rsidR="00573F88" w:rsidRPr="00573F88" w:rsidRDefault="00573F88" w:rsidP="00573F88">
            <w:pPr>
              <w:spacing w:after="0" w:line="240" w:lineRule="auto"/>
              <w:jc w:val="both"/>
              <w:rPr>
                <w:rFonts w:ascii="Times New Roman" w:eastAsia="Times New Roman" w:hAnsi="Times New Roman" w:cs="Times New Roman"/>
                <w:sz w:val="24"/>
                <w:szCs w:val="24"/>
              </w:rPr>
            </w:pPr>
            <w:r w:rsidRPr="00573F88">
              <w:rPr>
                <w:rFonts w:ascii="Times New Roman" w:eastAsia="Times New Roman" w:hAnsi="Times New Roman" w:cs="Times New Roman"/>
                <w:color w:val="333333"/>
                <w:sz w:val="24"/>
                <w:szCs w:val="24"/>
              </w:rPr>
              <w:t>(</w:t>
            </w:r>
            <w:r w:rsidRPr="00573F88">
              <w:rPr>
                <w:rFonts w:ascii="Times New Roman" w:eastAsia="Times New Roman" w:hAnsi="Times New Roman" w:cs="Times New Roman"/>
                <w:b/>
                <w:bCs/>
                <w:color w:val="333333"/>
                <w:sz w:val="24"/>
                <w:szCs w:val="24"/>
              </w:rPr>
              <w:t>підпункт 12 пункт 47 Особливостей</w:t>
            </w:r>
            <w:r w:rsidRPr="00573F88">
              <w:rPr>
                <w:rFonts w:ascii="Times New Roman" w:eastAsia="Times New Roman" w:hAnsi="Times New Roman" w:cs="Times New Roman"/>
                <w:color w:val="333333"/>
                <w:sz w:val="24"/>
                <w:szCs w:val="24"/>
              </w:rPr>
              <w: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55DEC9" w14:textId="77777777" w:rsidR="00573F88" w:rsidRPr="00573F88" w:rsidRDefault="00573F88" w:rsidP="00573F88">
            <w:pPr>
              <w:spacing w:after="0" w:line="240" w:lineRule="auto"/>
              <w:rPr>
                <w:rFonts w:ascii="Times New Roman" w:eastAsia="Times New Roman" w:hAnsi="Times New Roman" w:cs="Times New Roman"/>
                <w:sz w:val="24"/>
                <w:szCs w:val="24"/>
              </w:rPr>
            </w:pPr>
          </w:p>
        </w:tc>
      </w:tr>
    </w:tbl>
    <w:p w14:paraId="093AA6FE" w14:textId="77777777" w:rsidR="00573F88" w:rsidRPr="00573F88" w:rsidRDefault="00573F88" w:rsidP="00573F88">
      <w:pPr>
        <w:shd w:val="clear" w:color="auto" w:fill="FFFFFF"/>
        <w:spacing w:after="0" w:line="240" w:lineRule="auto"/>
        <w:jc w:val="both"/>
        <w:rPr>
          <w:rFonts w:ascii="Times New Roman" w:eastAsia="Times New Roman" w:hAnsi="Times New Roman" w:cs="Times New Roman"/>
          <w:sz w:val="24"/>
          <w:szCs w:val="24"/>
        </w:rPr>
      </w:pPr>
    </w:p>
    <w:p w14:paraId="2A250A1C" w14:textId="1D38EE0A" w:rsidR="00573F88" w:rsidRDefault="00573F88" w:rsidP="00573F88">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573F88">
        <w:rPr>
          <w:rFonts w:ascii="Times New Roman" w:eastAsia="Times New Roman" w:hAnsi="Times New Roman" w:cs="Times New Roman"/>
          <w:color w:val="000000"/>
          <w:sz w:val="26"/>
          <w:szCs w:val="26"/>
        </w:rPr>
        <w:t xml:space="preserve">Документ виданий відповідним органом, який має такі повноваження, що вимагається до подання від учасника-переможця на підтвердження відсутності підстав передбачених </w:t>
      </w:r>
      <w:proofErr w:type="spellStart"/>
      <w:r w:rsidRPr="00573F88">
        <w:rPr>
          <w:rFonts w:ascii="Times New Roman" w:eastAsia="Times New Roman" w:hAnsi="Times New Roman" w:cs="Times New Roman"/>
          <w:color w:val="000000"/>
          <w:sz w:val="26"/>
          <w:szCs w:val="26"/>
        </w:rPr>
        <w:t>п.п</w:t>
      </w:r>
      <w:proofErr w:type="spellEnd"/>
      <w:r w:rsidRPr="00573F88">
        <w:rPr>
          <w:rFonts w:ascii="Times New Roman" w:eastAsia="Times New Roman" w:hAnsi="Times New Roman" w:cs="Times New Roman"/>
          <w:color w:val="000000"/>
          <w:sz w:val="26"/>
          <w:szCs w:val="26"/>
        </w:rPr>
        <w:t xml:space="preserve"> 5, 6 п. 47 Особливостей одночасно є документом, що підтверджує відсутність підстав згідно </w:t>
      </w:r>
      <w:proofErr w:type="spellStart"/>
      <w:r w:rsidRPr="00573F88">
        <w:rPr>
          <w:rFonts w:ascii="Times New Roman" w:eastAsia="Times New Roman" w:hAnsi="Times New Roman" w:cs="Times New Roman"/>
          <w:color w:val="000000"/>
          <w:sz w:val="26"/>
          <w:szCs w:val="26"/>
        </w:rPr>
        <w:t>п.п</w:t>
      </w:r>
      <w:proofErr w:type="spellEnd"/>
      <w:r w:rsidRPr="00573F88">
        <w:rPr>
          <w:rFonts w:ascii="Times New Roman" w:eastAsia="Times New Roman" w:hAnsi="Times New Roman" w:cs="Times New Roman"/>
          <w:color w:val="000000"/>
          <w:sz w:val="26"/>
          <w:szCs w:val="26"/>
        </w:rPr>
        <w:t>. 12 Особливостей.</w:t>
      </w:r>
    </w:p>
    <w:p w14:paraId="2C10B52C" w14:textId="18033406" w:rsidR="00B1627A" w:rsidRDefault="00B1627A" w:rsidP="00573F88">
      <w:pPr>
        <w:shd w:val="clear" w:color="auto" w:fill="FFFFFF"/>
        <w:spacing w:after="0" w:line="240" w:lineRule="auto"/>
        <w:ind w:firstLine="709"/>
        <w:jc w:val="both"/>
        <w:rPr>
          <w:rFonts w:ascii="Times New Roman" w:eastAsia="Times New Roman" w:hAnsi="Times New Roman" w:cs="Times New Roman"/>
          <w:sz w:val="24"/>
          <w:szCs w:val="24"/>
        </w:rPr>
      </w:pPr>
    </w:p>
    <w:p w14:paraId="4DEF9841" w14:textId="52EEBC31" w:rsidR="00B1627A" w:rsidRDefault="00B1627A" w:rsidP="00573F88">
      <w:pPr>
        <w:shd w:val="clear" w:color="auto" w:fill="FFFFFF"/>
        <w:spacing w:after="0" w:line="240" w:lineRule="auto"/>
        <w:ind w:firstLine="709"/>
        <w:jc w:val="both"/>
        <w:rPr>
          <w:rFonts w:ascii="Times New Roman" w:eastAsia="Times New Roman" w:hAnsi="Times New Roman" w:cs="Times New Roman"/>
          <w:sz w:val="26"/>
          <w:szCs w:val="26"/>
        </w:rPr>
      </w:pPr>
      <w:r w:rsidRPr="00B1627A">
        <w:rPr>
          <w:rFonts w:ascii="Times New Roman" w:eastAsia="Times New Roman" w:hAnsi="Times New Roman" w:cs="Times New Roman"/>
          <w:sz w:val="26"/>
          <w:szCs w:val="26"/>
        </w:rPr>
        <w:t xml:space="preserve">Відповідно до абзацу 2 пункту 17 Особливостей - Переможець процедури закупівлі під час укладення договору про закупівлю повинен надати відповідну </w:t>
      </w:r>
      <w:r w:rsidRPr="00132F8A">
        <w:rPr>
          <w:rFonts w:ascii="Times New Roman" w:eastAsia="Times New Roman" w:hAnsi="Times New Roman" w:cs="Times New Roman"/>
          <w:b/>
          <w:sz w:val="26"/>
          <w:szCs w:val="26"/>
        </w:rPr>
        <w:t>інформацію про право підписання договору про закупівлю</w:t>
      </w:r>
      <w:r w:rsidRPr="00B1627A">
        <w:rPr>
          <w:rFonts w:ascii="Times New Roman" w:eastAsia="Times New Roman" w:hAnsi="Times New Roman" w:cs="Times New Roman"/>
          <w:sz w:val="26"/>
          <w:szCs w:val="26"/>
        </w:rPr>
        <w:t>.</w:t>
      </w:r>
    </w:p>
    <w:p w14:paraId="2BB679AC" w14:textId="77777777" w:rsidR="00132F8A" w:rsidRDefault="00132F8A" w:rsidP="00573F88">
      <w:pPr>
        <w:shd w:val="clear" w:color="auto" w:fill="FFFFFF"/>
        <w:spacing w:after="0" w:line="240" w:lineRule="auto"/>
        <w:ind w:firstLine="709"/>
        <w:jc w:val="both"/>
        <w:rPr>
          <w:rFonts w:ascii="Times New Roman" w:eastAsia="Times New Roman" w:hAnsi="Times New Roman" w:cs="Times New Roman"/>
          <w:sz w:val="26"/>
          <w:szCs w:val="26"/>
        </w:rPr>
      </w:pPr>
    </w:p>
    <w:p w14:paraId="4CAC55AB" w14:textId="77777777" w:rsidR="00B1627A" w:rsidRPr="00B1627A" w:rsidRDefault="00B1627A" w:rsidP="00573F88">
      <w:pPr>
        <w:shd w:val="clear" w:color="auto" w:fill="FFFFFF"/>
        <w:spacing w:after="0" w:line="240" w:lineRule="auto"/>
        <w:ind w:firstLine="709"/>
        <w:jc w:val="both"/>
        <w:rPr>
          <w:rFonts w:ascii="Times New Roman" w:eastAsia="Times New Roman" w:hAnsi="Times New Roman" w:cs="Times New Roman"/>
          <w:sz w:val="26"/>
          <w:szCs w:val="26"/>
        </w:rPr>
      </w:pPr>
    </w:p>
    <w:p w14:paraId="6A01919C"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p>
    <w:p w14:paraId="593C0BC6" w14:textId="77777777" w:rsidR="00573F88" w:rsidRPr="00573F88" w:rsidRDefault="00573F88" w:rsidP="00573F88">
      <w:pPr>
        <w:shd w:val="clear" w:color="auto" w:fill="FFFFFF"/>
        <w:spacing w:after="0" w:line="240" w:lineRule="auto"/>
        <w:jc w:val="right"/>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Додаток №3</w:t>
      </w:r>
    </w:p>
    <w:p w14:paraId="6F9C9FAA" w14:textId="77777777" w:rsidR="00573F88" w:rsidRPr="00573F88" w:rsidRDefault="00573F88" w:rsidP="00573F88">
      <w:pPr>
        <w:shd w:val="clear" w:color="auto" w:fill="FFFFFF"/>
        <w:spacing w:after="0" w:line="240" w:lineRule="auto"/>
        <w:jc w:val="right"/>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 до тендерної документації</w:t>
      </w:r>
    </w:p>
    <w:p w14:paraId="66A63CCF"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p>
    <w:p w14:paraId="1277BB60" w14:textId="77777777" w:rsidR="00573F88" w:rsidRPr="00573F88" w:rsidRDefault="00573F88" w:rsidP="00573F88">
      <w:pPr>
        <w:shd w:val="clear" w:color="auto" w:fill="FFFFFF"/>
        <w:spacing w:after="0" w:line="240" w:lineRule="auto"/>
        <w:jc w:val="center"/>
        <w:rPr>
          <w:rFonts w:ascii="Times New Roman" w:eastAsia="Times New Roman" w:hAnsi="Times New Roman" w:cs="Times New Roman"/>
          <w:sz w:val="24"/>
          <w:szCs w:val="24"/>
        </w:rPr>
      </w:pPr>
      <w:r w:rsidRPr="00573F88">
        <w:rPr>
          <w:rFonts w:ascii="Times New Roman" w:eastAsia="Times New Roman" w:hAnsi="Times New Roman" w:cs="Times New Roman"/>
          <w:b/>
          <w:bCs/>
          <w:color w:val="000000"/>
          <w:sz w:val="26"/>
          <w:szCs w:val="26"/>
        </w:rPr>
        <w:t>ПРОЄКТ ДОГОВОРУ</w:t>
      </w:r>
    </w:p>
    <w:p w14:paraId="165C141D" w14:textId="77777777" w:rsidR="00573F88" w:rsidRPr="00573F88" w:rsidRDefault="00573F88" w:rsidP="00573F88">
      <w:pPr>
        <w:shd w:val="clear" w:color="auto" w:fill="FFFFFF"/>
        <w:spacing w:after="0" w:line="240" w:lineRule="auto"/>
        <w:rPr>
          <w:rFonts w:ascii="Times New Roman" w:eastAsia="Times New Roman" w:hAnsi="Times New Roman" w:cs="Times New Roman"/>
          <w:sz w:val="24"/>
          <w:szCs w:val="24"/>
        </w:rPr>
      </w:pPr>
      <w:r w:rsidRPr="00573F88">
        <w:rPr>
          <w:rFonts w:ascii="Times New Roman" w:eastAsia="Times New Roman" w:hAnsi="Times New Roman" w:cs="Times New Roman"/>
          <w:color w:val="000000"/>
          <w:sz w:val="26"/>
          <w:szCs w:val="26"/>
        </w:rPr>
        <w:tab/>
      </w:r>
    </w:p>
    <w:p w14:paraId="657C65E3" w14:textId="77777777" w:rsidR="00573F88" w:rsidRPr="00573F88" w:rsidRDefault="00573F88" w:rsidP="00573F88">
      <w:pPr>
        <w:shd w:val="clear" w:color="auto" w:fill="FFFFFF"/>
        <w:spacing w:after="0" w:line="240" w:lineRule="auto"/>
        <w:rPr>
          <w:rFonts w:ascii="Times New Roman" w:eastAsia="Times New Roman" w:hAnsi="Times New Roman" w:cs="Times New Roman"/>
          <w:sz w:val="24"/>
          <w:szCs w:val="24"/>
        </w:rPr>
      </w:pPr>
    </w:p>
    <w:p w14:paraId="4D6CB8FC" w14:textId="77777777" w:rsidR="00132F8A" w:rsidRPr="00B1627A" w:rsidRDefault="00132F8A" w:rsidP="00132F8A">
      <w:pPr>
        <w:shd w:val="clear" w:color="auto" w:fill="FFFFFF"/>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Відповідно до статті 41 змінами від 19.09.2024 (що вступили в дію 23.10.2024 року) </w:t>
      </w:r>
      <w:r w:rsidRPr="00132F8A">
        <w:rPr>
          <w:rFonts w:ascii="Times New Roman" w:eastAsia="Times New Roman" w:hAnsi="Times New Roman" w:cs="Times New Roman"/>
          <w:b/>
          <w:sz w:val="26"/>
          <w:szCs w:val="26"/>
        </w:rPr>
        <w:t>невід’ємними додатками до договору про закупівлю послуг з поточного ремонту, робіт з нового будівництва</w:t>
      </w:r>
      <w:r w:rsidRPr="00B1627A">
        <w:rPr>
          <w:rFonts w:ascii="Times New Roman" w:eastAsia="Times New Roman" w:hAnsi="Times New Roman" w:cs="Times New Roman"/>
          <w:sz w:val="26"/>
          <w:szCs w:val="26"/>
        </w:rPr>
        <w:t>, реконструкції, реставрації, капітального ремонту об’єкта будівництва є документи, що містять інформацію про ціни на матеріальні ресурси.</w:t>
      </w:r>
    </w:p>
    <w:p w14:paraId="5F017A08" w14:textId="77777777" w:rsidR="00132F8A" w:rsidRPr="00B1627A" w:rsidRDefault="00132F8A" w:rsidP="00132F8A">
      <w:pPr>
        <w:shd w:val="clear" w:color="auto" w:fill="FFFFFF"/>
        <w:spacing w:after="0" w:line="240" w:lineRule="auto"/>
        <w:ind w:firstLine="709"/>
        <w:jc w:val="both"/>
        <w:rPr>
          <w:rFonts w:ascii="Times New Roman" w:eastAsia="Times New Roman" w:hAnsi="Times New Roman" w:cs="Times New Roman"/>
          <w:sz w:val="26"/>
          <w:szCs w:val="26"/>
        </w:rPr>
      </w:pPr>
      <w:r w:rsidRPr="00132F8A">
        <w:rPr>
          <w:rFonts w:ascii="Times New Roman" w:eastAsia="Times New Roman" w:hAnsi="Times New Roman" w:cs="Times New Roman"/>
          <w:b/>
          <w:sz w:val="26"/>
          <w:szCs w:val="26"/>
        </w:rPr>
        <w:t>Невід’ємними додатками до договору про закупівлю послуг з поточного ремонту з розробленням проектної документації, робіт з будівництва об’єктів з розробленням проектної документації</w:t>
      </w:r>
      <w:r w:rsidRPr="00B1627A">
        <w:rPr>
          <w:rFonts w:ascii="Times New Roman" w:eastAsia="Times New Roman" w:hAnsi="Times New Roman" w:cs="Times New Roman"/>
          <w:sz w:val="26"/>
          <w:szCs w:val="26"/>
        </w:rPr>
        <w:t xml:space="preserve"> є документи, що містять інформацію про ціни на матеріальні ресурси, що долучаються після складання договірної ціни, уточненої (узгодженої) відповідно до затвердженої проектної документації (затвердження проектної документації є обов’язковим, якщо це передбачено законодавством).</w:t>
      </w:r>
    </w:p>
    <w:p w14:paraId="56B3609E" w14:textId="77777777" w:rsidR="00132F8A" w:rsidRDefault="00132F8A" w:rsidP="00132F8A">
      <w:pPr>
        <w:shd w:val="clear" w:color="auto" w:fill="FFFFFF"/>
        <w:spacing w:after="0" w:line="240" w:lineRule="auto"/>
        <w:ind w:firstLine="709"/>
        <w:jc w:val="both"/>
        <w:rPr>
          <w:rFonts w:ascii="Times New Roman" w:eastAsia="Times New Roman" w:hAnsi="Times New Roman" w:cs="Times New Roman"/>
          <w:sz w:val="26"/>
          <w:szCs w:val="26"/>
        </w:rPr>
      </w:pPr>
      <w:r w:rsidRPr="00B1627A">
        <w:rPr>
          <w:rFonts w:ascii="Times New Roman" w:eastAsia="Times New Roman" w:hAnsi="Times New Roman" w:cs="Times New Roman"/>
          <w:sz w:val="26"/>
          <w:szCs w:val="26"/>
        </w:rPr>
        <w:t xml:space="preserve">У документах, що містять </w:t>
      </w:r>
      <w:r w:rsidRPr="00132F8A">
        <w:rPr>
          <w:rFonts w:ascii="Times New Roman" w:eastAsia="Times New Roman" w:hAnsi="Times New Roman" w:cs="Times New Roman"/>
          <w:b/>
          <w:sz w:val="26"/>
          <w:szCs w:val="26"/>
        </w:rPr>
        <w:t>інформацію про ціни на матеріальні ресурси, обов’язково має зазначатися така інформація</w:t>
      </w:r>
      <w:r w:rsidRPr="00B1627A">
        <w:rPr>
          <w:rFonts w:ascii="Times New Roman" w:eastAsia="Times New Roman" w:hAnsi="Times New Roman" w:cs="Times New Roman"/>
          <w:sz w:val="26"/>
          <w:szCs w:val="26"/>
        </w:rPr>
        <w:t>: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 Такі документи можуть містити іншу інформацію.</w:t>
      </w:r>
    </w:p>
    <w:p w14:paraId="300CA552" w14:textId="77777777" w:rsidR="00573F88" w:rsidRPr="00573F88" w:rsidRDefault="00573F88" w:rsidP="00573F88">
      <w:pPr>
        <w:spacing w:after="240" w:line="240" w:lineRule="auto"/>
        <w:rPr>
          <w:rFonts w:ascii="Times New Roman" w:eastAsia="Times New Roman" w:hAnsi="Times New Roman" w:cs="Times New Roman"/>
          <w:sz w:val="24"/>
          <w:szCs w:val="24"/>
        </w:rPr>
      </w:pPr>
    </w:p>
    <w:sectPr w:rsidR="00573F88" w:rsidRPr="00573F88">
      <w:pgSz w:w="11906" w:h="16838"/>
      <w:pgMar w:top="567" w:right="425" w:bottom="567" w:left="992" w:header="0" w:footer="10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00"/>
    <w:family w:val="auto"/>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B0854"/>
    <w:multiLevelType w:val="multilevel"/>
    <w:tmpl w:val="7576AD08"/>
    <w:lvl w:ilvl="0">
      <w:start w:val="1"/>
      <w:numFmt w:val="decimal"/>
      <w:lvlText w:val="%1."/>
      <w:lvlJc w:val="left"/>
      <w:pPr>
        <w:ind w:left="789" w:hanging="790"/>
      </w:pPr>
    </w:lvl>
    <w:lvl w:ilvl="1">
      <w:start w:val="8"/>
      <w:numFmt w:val="decimal"/>
      <w:lvlText w:val="%1.%2."/>
      <w:lvlJc w:val="left"/>
      <w:pPr>
        <w:ind w:left="1180" w:hanging="720"/>
      </w:pPr>
    </w:lvl>
    <w:lvl w:ilvl="2">
      <w:start w:val="1"/>
      <w:numFmt w:val="decimal"/>
      <w:lvlText w:val="%1.%2.%3."/>
      <w:lvlJc w:val="left"/>
      <w:pPr>
        <w:ind w:left="1641" w:hanging="720"/>
      </w:pPr>
    </w:lvl>
    <w:lvl w:ilvl="3">
      <w:start w:val="1"/>
      <w:numFmt w:val="decimal"/>
      <w:lvlText w:val="%1.%2.%3.%4."/>
      <w:lvlJc w:val="left"/>
      <w:pPr>
        <w:ind w:left="2462" w:hanging="1080"/>
      </w:pPr>
    </w:lvl>
    <w:lvl w:ilvl="4">
      <w:start w:val="1"/>
      <w:numFmt w:val="decimal"/>
      <w:lvlText w:val="%1.%2.%3.%4.%5."/>
      <w:lvlJc w:val="left"/>
      <w:pPr>
        <w:ind w:left="2923" w:hanging="1080"/>
      </w:pPr>
    </w:lvl>
    <w:lvl w:ilvl="5">
      <w:start w:val="1"/>
      <w:numFmt w:val="decimal"/>
      <w:lvlText w:val="%1.%2.%3.%4.%5.%6."/>
      <w:lvlJc w:val="left"/>
      <w:pPr>
        <w:ind w:left="3744" w:hanging="1440"/>
      </w:pPr>
    </w:lvl>
    <w:lvl w:ilvl="6">
      <w:start w:val="1"/>
      <w:numFmt w:val="decimal"/>
      <w:lvlText w:val="%1.%2.%3.%4.%5.%6.%7."/>
      <w:lvlJc w:val="left"/>
      <w:pPr>
        <w:ind w:left="4205" w:hanging="1440"/>
      </w:pPr>
    </w:lvl>
    <w:lvl w:ilvl="7">
      <w:start w:val="1"/>
      <w:numFmt w:val="decimal"/>
      <w:lvlText w:val="%1.%2.%3.%4.%5.%6.%7.%8."/>
      <w:lvlJc w:val="left"/>
      <w:pPr>
        <w:ind w:left="5026" w:hanging="1800"/>
      </w:pPr>
    </w:lvl>
    <w:lvl w:ilvl="8">
      <w:start w:val="1"/>
      <w:numFmt w:val="decimal"/>
      <w:lvlText w:val="%1.%2.%3.%4.%5.%6.%7.%8.%9."/>
      <w:lvlJc w:val="left"/>
      <w:pPr>
        <w:ind w:left="5487" w:hanging="1798"/>
      </w:pPr>
    </w:lvl>
  </w:abstractNum>
  <w:abstractNum w:abstractNumId="1" w15:restartNumberingAfterBreak="0">
    <w:nsid w:val="450515A4"/>
    <w:multiLevelType w:val="multilevel"/>
    <w:tmpl w:val="C05C3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6B29DA"/>
    <w:multiLevelType w:val="multilevel"/>
    <w:tmpl w:val="9CD633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F7F4B4C"/>
    <w:multiLevelType w:val="multilevel"/>
    <w:tmpl w:val="F4AC2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4B4B00"/>
    <w:multiLevelType w:val="multilevel"/>
    <w:tmpl w:val="1908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9A0C82"/>
    <w:multiLevelType w:val="multilevel"/>
    <w:tmpl w:val="2B72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0A7558"/>
    <w:multiLevelType w:val="multilevel"/>
    <w:tmpl w:val="F5C2B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7D6EB2"/>
    <w:multiLevelType w:val="multilevel"/>
    <w:tmpl w:val="F08497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23317942">
    <w:abstractNumId w:val="2"/>
  </w:num>
  <w:num w:numId="2" w16cid:durableId="932860719">
    <w:abstractNumId w:val="0"/>
  </w:num>
  <w:num w:numId="3" w16cid:durableId="1635283563">
    <w:abstractNumId w:val="1"/>
  </w:num>
  <w:num w:numId="4" w16cid:durableId="1119226339">
    <w:abstractNumId w:val="6"/>
  </w:num>
  <w:num w:numId="5" w16cid:durableId="1007637312">
    <w:abstractNumId w:val="7"/>
  </w:num>
  <w:num w:numId="6" w16cid:durableId="174812276">
    <w:abstractNumId w:val="5"/>
  </w:num>
  <w:num w:numId="7" w16cid:durableId="315765221">
    <w:abstractNumId w:val="4"/>
  </w:num>
  <w:num w:numId="8" w16cid:durableId="503979814">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0D"/>
    <w:rsid w:val="0000541E"/>
    <w:rsid w:val="000103E7"/>
    <w:rsid w:val="000A12B5"/>
    <w:rsid w:val="000B28B3"/>
    <w:rsid w:val="00132F8A"/>
    <w:rsid w:val="002B0E35"/>
    <w:rsid w:val="002E4E62"/>
    <w:rsid w:val="00573F88"/>
    <w:rsid w:val="005D0B7E"/>
    <w:rsid w:val="006A05DF"/>
    <w:rsid w:val="00A4280D"/>
    <w:rsid w:val="00B1627A"/>
    <w:rsid w:val="00C80A9F"/>
    <w:rsid w:val="00D0314E"/>
    <w:rsid w:val="00D52FCB"/>
    <w:rsid w:val="00ED7F50"/>
    <w:rsid w:val="00F558D4"/>
    <w:rsid w:val="00F61A22"/>
    <w:rsid w:val="00FF3A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3703"/>
  <w15:docId w15:val="{5C8FDF8F-EE33-4840-97A0-32125924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3E7"/>
  </w:style>
  <w:style w:type="paragraph" w:styleId="1">
    <w:name w:val="heading 1"/>
    <w:basedOn w:val="a"/>
    <w:next w:val="a"/>
    <w:link w:val="10"/>
    <w:uiPriority w:val="9"/>
    <w:qFormat/>
    <w:rsid w:val="00FE1649"/>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9C47C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9C47C8"/>
    <w:rPr>
      <w:rFonts w:ascii="Segoe UI" w:hAnsi="Segoe UI" w:cs="Segoe UI"/>
      <w:sz w:val="18"/>
      <w:szCs w:val="18"/>
    </w:rPr>
  </w:style>
  <w:style w:type="paragraph" w:styleId="a6">
    <w:name w:val="List Paragraph"/>
    <w:aliases w:val="Elenco Normale,List Paragraph,Список уровня 2,название табл/рис,Chapter10,заголовок 1.1,----,EBRD List,CA bullets"/>
    <w:basedOn w:val="a"/>
    <w:link w:val="a7"/>
    <w:uiPriority w:val="34"/>
    <w:qFormat/>
    <w:rsid w:val="009C47C8"/>
    <w:pPr>
      <w:ind w:left="720"/>
      <w:contextualSpacing/>
    </w:pPr>
  </w:style>
  <w:style w:type="character" w:styleId="a8">
    <w:name w:val="annotation reference"/>
    <w:basedOn w:val="a0"/>
    <w:uiPriority w:val="99"/>
    <w:semiHidden/>
    <w:unhideWhenUsed/>
    <w:rsid w:val="00FB6D60"/>
    <w:rPr>
      <w:sz w:val="16"/>
      <w:szCs w:val="16"/>
    </w:rPr>
  </w:style>
  <w:style w:type="paragraph" w:styleId="a9">
    <w:name w:val="annotation text"/>
    <w:basedOn w:val="a"/>
    <w:link w:val="aa"/>
    <w:uiPriority w:val="99"/>
    <w:semiHidden/>
    <w:unhideWhenUsed/>
    <w:rsid w:val="00FB6D60"/>
    <w:pPr>
      <w:spacing w:after="200" w:line="240" w:lineRule="auto"/>
      <w:ind w:hanging="1"/>
    </w:pPr>
    <w:rPr>
      <w:sz w:val="20"/>
      <w:szCs w:val="20"/>
    </w:rPr>
  </w:style>
  <w:style w:type="character" w:customStyle="1" w:styleId="aa">
    <w:name w:val="Текст примітки Знак"/>
    <w:basedOn w:val="a0"/>
    <w:link w:val="a9"/>
    <w:uiPriority w:val="99"/>
    <w:semiHidden/>
    <w:rsid w:val="00FB6D60"/>
    <w:rPr>
      <w:rFonts w:ascii="Calibri" w:eastAsia="Calibri" w:hAnsi="Calibri" w:cs="Calibri"/>
      <w:sz w:val="20"/>
      <w:szCs w:val="20"/>
      <w:lang w:eastAsia="uk-UA"/>
    </w:rPr>
  </w:style>
  <w:style w:type="character" w:styleId="ab">
    <w:name w:val="Hyperlink"/>
    <w:uiPriority w:val="99"/>
    <w:unhideWhenUsed/>
    <w:rsid w:val="008A5AC0"/>
    <w:rPr>
      <w:color w:val="0000FF"/>
      <w:u w:val="single"/>
    </w:rPr>
  </w:style>
  <w:style w:type="paragraph" w:styleId="20">
    <w:name w:val="Body Text 2"/>
    <w:basedOn w:val="a"/>
    <w:link w:val="21"/>
    <w:rsid w:val="008A5AC0"/>
    <w:pPr>
      <w:spacing w:after="120" w:line="480" w:lineRule="auto"/>
    </w:pPr>
    <w:rPr>
      <w:rFonts w:ascii="Times New Roman" w:eastAsia="Times New Roman" w:hAnsi="Times New Roman" w:cs="Times New Roman"/>
      <w:sz w:val="20"/>
      <w:szCs w:val="20"/>
      <w:lang w:eastAsia="ru-RU"/>
    </w:rPr>
  </w:style>
  <w:style w:type="character" w:customStyle="1" w:styleId="21">
    <w:name w:val="Основний текст 2 Знак"/>
    <w:basedOn w:val="a0"/>
    <w:link w:val="20"/>
    <w:rsid w:val="008A5AC0"/>
    <w:rPr>
      <w:rFonts w:ascii="Times New Roman" w:eastAsia="Times New Roman" w:hAnsi="Times New Roman" w:cs="Times New Roman"/>
      <w:sz w:val="20"/>
      <w:szCs w:val="20"/>
      <w:lang w:eastAsia="ru-RU"/>
    </w:rPr>
  </w:style>
  <w:style w:type="character" w:customStyle="1" w:styleId="11">
    <w:name w:val="Незакрита згадка1"/>
    <w:basedOn w:val="a0"/>
    <w:uiPriority w:val="99"/>
    <w:semiHidden/>
    <w:unhideWhenUsed/>
    <w:rsid w:val="00A60892"/>
    <w:rPr>
      <w:color w:val="605E5C"/>
      <w:shd w:val="clear" w:color="auto" w:fill="E1DFDD"/>
    </w:rPr>
  </w:style>
  <w:style w:type="paragraph" w:customStyle="1" w:styleId="rvps2">
    <w:name w:val="rvps2"/>
    <w:basedOn w:val="a"/>
    <w:rsid w:val="001F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FE1649"/>
    <w:rPr>
      <w:rFonts w:ascii="Arial" w:eastAsia="Arial" w:hAnsi="Arial" w:cs="Arial"/>
      <w:b/>
      <w:color w:val="000000"/>
      <w:sz w:val="48"/>
      <w:szCs w:val="48"/>
      <w:lang w:val="ru-RU" w:eastAsia="ru-RU"/>
    </w:rPr>
  </w:style>
  <w:style w:type="character" w:customStyle="1" w:styleId="ac">
    <w:name w:val="Звичайний (веб) Знак"/>
    <w:aliases w:val="Обычный (Web) Знак"/>
    <w:link w:val="ad"/>
    <w:uiPriority w:val="99"/>
    <w:semiHidden/>
    <w:locked/>
    <w:rsid w:val="00FE1649"/>
    <w:rPr>
      <w:rFonts w:ascii="Times New Roman" w:eastAsia="Times New Roman" w:hAnsi="Times New Roman" w:cs="Times New Roman"/>
      <w:sz w:val="24"/>
      <w:szCs w:val="24"/>
    </w:rPr>
  </w:style>
  <w:style w:type="paragraph" w:styleId="ad">
    <w:name w:val="Normal (Web)"/>
    <w:aliases w:val="Обычный (Web)"/>
    <w:basedOn w:val="1"/>
    <w:next w:val="a"/>
    <w:link w:val="ac"/>
    <w:autoRedefine/>
    <w:uiPriority w:val="99"/>
    <w:semiHidden/>
    <w:unhideWhenUsed/>
    <w:qFormat/>
    <w:rsid w:val="00FE1649"/>
    <w:pPr>
      <w:suppressAutoHyphens/>
      <w:spacing w:after="0"/>
    </w:pPr>
    <w:rPr>
      <w:rFonts w:ascii="Times New Roman" w:eastAsia="Times New Roman" w:hAnsi="Times New Roman" w:cs="Times New Roman"/>
      <w:b w:val="0"/>
      <w:color w:val="auto"/>
      <w:sz w:val="24"/>
      <w:szCs w:val="24"/>
      <w:lang w:val="uk-UA" w:eastAsia="en-US"/>
    </w:rPr>
  </w:style>
  <w:style w:type="character" w:customStyle="1" w:styleId="a7">
    <w:name w:val="Абзац списку Знак"/>
    <w:aliases w:val="Elenco Normale Знак,List Paragraph Знак,Список уровня 2 Знак,название табл/рис Знак,Chapter10 Знак,заголовок 1.1 Знак,---- Знак,EBRD List Знак,CA bullets Знак"/>
    <w:link w:val="a6"/>
    <w:uiPriority w:val="34"/>
    <w:qFormat/>
    <w:locked/>
    <w:rsid w:val="00FE1649"/>
  </w:style>
  <w:style w:type="character" w:customStyle="1" w:styleId="Bodytext9">
    <w:name w:val="Body text (9)_"/>
    <w:link w:val="Bodytext90"/>
    <w:locked/>
    <w:rsid w:val="00FE1649"/>
    <w:rPr>
      <w:shd w:val="clear" w:color="auto" w:fill="FFFFFF"/>
    </w:rPr>
  </w:style>
  <w:style w:type="paragraph" w:customStyle="1" w:styleId="Bodytext90">
    <w:name w:val="Body text (9)"/>
    <w:basedOn w:val="a"/>
    <w:link w:val="Bodytext9"/>
    <w:rsid w:val="00FE1649"/>
    <w:pPr>
      <w:widowControl w:val="0"/>
      <w:shd w:val="clear" w:color="auto" w:fill="FFFFFF"/>
      <w:spacing w:before="300" w:after="0" w:line="274" w:lineRule="exact"/>
    </w:pPr>
  </w:style>
  <w:style w:type="table" w:styleId="ae">
    <w:name w:val="Table Grid"/>
    <w:basedOn w:val="a1"/>
    <w:uiPriority w:val="39"/>
    <w:rsid w:val="00FE1649"/>
    <w:pPr>
      <w:spacing w:after="0" w:line="240" w:lineRule="auto"/>
    </w:pPr>
    <w:rPr>
      <w:rFonts w:ascii="Liberation Serif" w:eastAsia="Droid Sans Fallback" w:hAnsi="Liberation Serif" w:cs="FreeSans"/>
      <w:color w:val="000000"/>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FE1649"/>
    <w:pPr>
      <w:spacing w:after="0" w:line="240" w:lineRule="auto"/>
    </w:pPr>
    <w:rPr>
      <w:rFonts w:ascii="Liberation Serif" w:eastAsia="Droid Sans Fallback" w:hAnsi="Liberation Serif" w:cs="FreeSans"/>
      <w:color w:val="000000"/>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має списку1"/>
    <w:next w:val="a2"/>
    <w:uiPriority w:val="99"/>
    <w:semiHidden/>
    <w:unhideWhenUsed/>
    <w:rsid w:val="00880D47"/>
  </w:style>
  <w:style w:type="table" w:customStyle="1" w:styleId="13">
    <w:name w:val="Сітка таблиці1"/>
    <w:basedOn w:val="a1"/>
    <w:next w:val="ae"/>
    <w:uiPriority w:val="39"/>
    <w:rsid w:val="00880D47"/>
    <w:pPr>
      <w:spacing w:after="0" w:line="240" w:lineRule="auto"/>
    </w:pPr>
    <w:rPr>
      <w:rFonts w:ascii="Liberation Serif" w:eastAsia="Droid Sans Fallback" w:hAnsi="Liberation Serif" w:cs="FreeSans"/>
      <w:color w:val="000000"/>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39"/>
    <w:rsid w:val="00880D47"/>
    <w:pPr>
      <w:spacing w:after="0" w:line="240" w:lineRule="auto"/>
    </w:pPr>
    <w:rPr>
      <w:rFonts w:ascii="Liberation Serif" w:eastAsia="Droid Sans Fallback" w:hAnsi="Liberation Serif" w:cs="FreeSans"/>
      <w:color w:val="000000"/>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9"/>
    <w:next w:val="a9"/>
    <w:link w:val="af0"/>
    <w:uiPriority w:val="99"/>
    <w:semiHidden/>
    <w:unhideWhenUsed/>
    <w:rsid w:val="00880D47"/>
    <w:pPr>
      <w:spacing w:after="160"/>
      <w:ind w:firstLine="0"/>
    </w:pPr>
    <w:rPr>
      <w:rFonts w:asciiTheme="minorHAnsi" w:eastAsiaTheme="minorHAnsi" w:hAnsiTheme="minorHAnsi" w:cstheme="minorBidi"/>
      <w:b/>
      <w:bCs/>
      <w:lang w:eastAsia="en-US"/>
    </w:rPr>
  </w:style>
  <w:style w:type="character" w:customStyle="1" w:styleId="af0">
    <w:name w:val="Тема примітки Знак"/>
    <w:basedOn w:val="aa"/>
    <w:link w:val="af"/>
    <w:uiPriority w:val="99"/>
    <w:semiHidden/>
    <w:rsid w:val="00880D47"/>
    <w:rPr>
      <w:rFonts w:ascii="Calibri" w:eastAsia="Calibri" w:hAnsi="Calibri" w:cs="Calibri"/>
      <w:b/>
      <w:bCs/>
      <w:sz w:val="20"/>
      <w:szCs w:val="20"/>
      <w:lang w:eastAsia="uk-UA"/>
    </w:rPr>
  </w:style>
  <w:style w:type="character" w:styleId="af1">
    <w:name w:val="Placeholder Text"/>
    <w:basedOn w:val="a0"/>
    <w:uiPriority w:val="99"/>
    <w:semiHidden/>
    <w:rsid w:val="00880D47"/>
  </w:style>
  <w:style w:type="paragraph" w:styleId="af2">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top w:w="55" w:type="dxa"/>
        <w:left w:w="51" w:type="dxa"/>
        <w:bottom w:w="55" w:type="dxa"/>
        <w:right w:w="55" w:type="dxa"/>
      </w:tblCellMar>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0"/>
    <w:pPr>
      <w:spacing w:after="0" w:line="240" w:lineRule="auto"/>
    </w:pPr>
    <w:rPr>
      <w:rFonts w:ascii="Liberation Serif" w:eastAsia="Liberation Serif" w:hAnsi="Liberation Serif" w:cs="Liberation Serif"/>
      <w:color w:val="000000"/>
      <w:sz w:val="24"/>
      <w:szCs w:val="24"/>
    </w:rPr>
    <w:tblPr>
      <w:tblStyleRowBandSize w:val="1"/>
      <w:tblStyleColBandSize w:val="1"/>
      <w:tblCellMar>
        <w:left w:w="108" w:type="dxa"/>
        <w:right w:w="108" w:type="dxa"/>
      </w:tblCellMar>
    </w:tblPr>
  </w:style>
  <w:style w:type="table" w:customStyle="1" w:styleId="aff6">
    <w:basedOn w:val="TableNormal0"/>
    <w:tblPr>
      <w:tblStyleRowBandSize w:val="1"/>
      <w:tblStyleColBandSize w:val="1"/>
      <w:tblCellMar>
        <w:top w:w="55" w:type="dxa"/>
        <w:left w:w="108" w:type="dxa"/>
        <w:bottom w:w="55" w:type="dxa"/>
        <w:right w:w="108" w:type="dxa"/>
      </w:tblCellMar>
    </w:tblPr>
  </w:style>
  <w:style w:type="table" w:customStyle="1" w:styleId="aff7">
    <w:basedOn w:val="TableNormal0"/>
    <w:tblPr>
      <w:tblStyleRowBandSize w:val="1"/>
      <w:tblStyleColBandSize w:val="1"/>
      <w:tblCellMar>
        <w:top w:w="55" w:type="dxa"/>
        <w:left w:w="108" w:type="dxa"/>
        <w:bottom w:w="55" w:type="dxa"/>
        <w:right w:w="108" w:type="dxa"/>
      </w:tblCellMar>
    </w:tblPr>
  </w:style>
  <w:style w:type="table" w:customStyle="1" w:styleId="aff8">
    <w:basedOn w:val="TableNormal0"/>
    <w:tblPr>
      <w:tblStyleRowBandSize w:val="1"/>
      <w:tblStyleColBandSize w:val="1"/>
      <w:tblCellMar>
        <w:top w:w="55" w:type="dxa"/>
        <w:left w:w="108" w:type="dxa"/>
        <w:bottom w:w="55"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top w:w="55" w:type="dxa"/>
        <w:left w:w="108" w:type="dxa"/>
        <w:bottom w:w="55" w:type="dxa"/>
        <w:right w:w="108" w:type="dxa"/>
      </w:tblCellMar>
    </w:tblPr>
  </w:style>
  <w:style w:type="table" w:customStyle="1" w:styleId="affb">
    <w:basedOn w:val="TableNormal0"/>
    <w:tblPr>
      <w:tblStyleRowBandSize w:val="1"/>
      <w:tblStyleColBandSize w:val="1"/>
      <w:tblCellMar>
        <w:top w:w="55" w:type="dxa"/>
        <w:left w:w="108" w:type="dxa"/>
        <w:bottom w:w="55" w:type="dxa"/>
        <w:right w:w="108" w:type="dxa"/>
      </w:tblCellMar>
    </w:tblPr>
  </w:style>
  <w:style w:type="table" w:customStyle="1" w:styleId="affc">
    <w:basedOn w:val="TableNormal0"/>
    <w:tblPr>
      <w:tblStyleRowBandSize w:val="1"/>
      <w:tblStyleColBandSize w:val="1"/>
      <w:tblCellMar>
        <w:top w:w="55" w:type="dxa"/>
        <w:left w:w="108" w:type="dxa"/>
        <w:bottom w:w="55" w:type="dxa"/>
        <w:right w:w="108" w:type="dxa"/>
      </w:tblCellMar>
    </w:tblPr>
  </w:style>
  <w:style w:type="table" w:customStyle="1" w:styleId="affd">
    <w:basedOn w:val="TableNormal0"/>
    <w:tblPr>
      <w:tblStyleRowBandSize w:val="1"/>
      <w:tblStyleColBandSize w:val="1"/>
      <w:tblCellMar>
        <w:top w:w="55" w:type="dxa"/>
        <w:left w:w="108" w:type="dxa"/>
        <w:bottom w:w="55" w:type="dxa"/>
        <w:right w:w="108" w:type="dxa"/>
      </w:tblCellMar>
    </w:tblPr>
  </w:style>
  <w:style w:type="table" w:customStyle="1" w:styleId="affe">
    <w:basedOn w:val="TableNormal0"/>
    <w:tblPr>
      <w:tblStyleRowBandSize w:val="1"/>
      <w:tblStyleColBandSize w:val="1"/>
      <w:tblCellMar>
        <w:top w:w="55" w:type="dxa"/>
        <w:left w:w="108" w:type="dxa"/>
        <w:bottom w:w="55" w:type="dxa"/>
        <w:right w:w="108" w:type="dxa"/>
      </w:tblCellMar>
    </w:tblPr>
  </w:style>
  <w:style w:type="table" w:customStyle="1" w:styleId="afff">
    <w:basedOn w:val="TableNormal0"/>
    <w:tblPr>
      <w:tblStyleRowBandSize w:val="1"/>
      <w:tblStyleColBandSize w:val="1"/>
      <w:tblCellMar>
        <w:top w:w="55" w:type="dxa"/>
        <w:left w:w="108" w:type="dxa"/>
        <w:bottom w:w="55" w:type="dxa"/>
        <w:right w:w="108" w:type="dxa"/>
      </w:tblCellMar>
    </w:tblPr>
  </w:style>
  <w:style w:type="table" w:customStyle="1" w:styleId="afff0">
    <w:basedOn w:val="TableNormal0"/>
    <w:tblPr>
      <w:tblStyleRowBandSize w:val="1"/>
      <w:tblStyleColBandSize w:val="1"/>
      <w:tblCellMar>
        <w:top w:w="55" w:type="dxa"/>
        <w:left w:w="108" w:type="dxa"/>
        <w:bottom w:w="5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40031">
      <w:bodyDiv w:val="1"/>
      <w:marLeft w:val="0"/>
      <w:marRight w:val="0"/>
      <w:marTop w:val="0"/>
      <w:marBottom w:val="0"/>
      <w:divBdr>
        <w:top w:val="none" w:sz="0" w:space="0" w:color="auto"/>
        <w:left w:val="none" w:sz="0" w:space="0" w:color="auto"/>
        <w:bottom w:val="none" w:sz="0" w:space="0" w:color="auto"/>
        <w:right w:val="none" w:sz="0" w:space="0" w:color="auto"/>
      </w:divBdr>
      <w:divsChild>
        <w:div w:id="469325573">
          <w:marLeft w:val="-55"/>
          <w:marRight w:val="0"/>
          <w:marTop w:val="0"/>
          <w:marBottom w:val="0"/>
          <w:divBdr>
            <w:top w:val="none" w:sz="0" w:space="0" w:color="auto"/>
            <w:left w:val="none" w:sz="0" w:space="0" w:color="auto"/>
            <w:bottom w:val="none" w:sz="0" w:space="0" w:color="auto"/>
            <w:right w:val="none" w:sz="0" w:space="0" w:color="auto"/>
          </w:divBdr>
        </w:div>
        <w:div w:id="811799426">
          <w:marLeft w:val="76"/>
          <w:marRight w:val="0"/>
          <w:marTop w:val="0"/>
          <w:marBottom w:val="0"/>
          <w:divBdr>
            <w:top w:val="none" w:sz="0" w:space="0" w:color="auto"/>
            <w:left w:val="none" w:sz="0" w:space="0" w:color="auto"/>
            <w:bottom w:val="none" w:sz="0" w:space="0" w:color="auto"/>
            <w:right w:val="none" w:sz="0" w:space="0" w:color="auto"/>
          </w:divBdr>
        </w:div>
        <w:div w:id="1320381981">
          <w:marLeft w:val="-1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I5VKZI487Ra/yykLOD8bI0d8Q==">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20786</Words>
  <Characters>11849</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Efremov</dc:creator>
  <cp:lastModifiedBy>Maryana Prystupa</cp:lastModifiedBy>
  <cp:revision>4</cp:revision>
  <dcterms:created xsi:type="dcterms:W3CDTF">2024-11-07T22:09:00Z</dcterms:created>
  <dcterms:modified xsi:type="dcterms:W3CDTF">2025-01-23T13:50:00Z</dcterms:modified>
</cp:coreProperties>
</file>