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900" w:rsidRDefault="00984900">
      <w:pPr>
        <w:widowControl w:val="0"/>
        <w:pBdr>
          <w:top w:val="nil"/>
          <w:left w:val="nil"/>
          <w:bottom w:val="nil"/>
          <w:right w:val="nil"/>
          <w:between w:val="nil"/>
        </w:pBdr>
        <w:spacing w:after="0" w:line="276" w:lineRule="auto"/>
        <w:rPr>
          <w:rFonts w:ascii="Arial" w:eastAsia="Arial" w:hAnsi="Arial" w:cs="Arial"/>
          <w:color w:val="000000"/>
          <w:sz w:val="22"/>
          <w:szCs w:val="22"/>
        </w:rPr>
      </w:pPr>
      <w:bookmarkStart w:id="0" w:name="_GoBack"/>
      <w:bookmarkEnd w:id="0"/>
    </w:p>
    <w:tbl>
      <w:tblPr>
        <w:tblStyle w:val="afc"/>
        <w:tblW w:w="3910" w:type="dxa"/>
        <w:tblInd w:w="5670" w:type="dxa"/>
        <w:tblLayout w:type="fixed"/>
        <w:tblLook w:val="0400" w:firstRow="0" w:lastRow="0" w:firstColumn="0" w:lastColumn="0" w:noHBand="0" w:noVBand="1"/>
      </w:tblPr>
      <w:tblGrid>
        <w:gridCol w:w="3910"/>
      </w:tblGrid>
      <w:tr w:rsidR="00984900">
        <w:tc>
          <w:tcPr>
            <w:tcW w:w="3910" w:type="dxa"/>
          </w:tcPr>
          <w:p w:rsidR="00984900" w:rsidRDefault="002748F3">
            <w:pPr>
              <w:spacing w:before="150" w:after="150" w:line="240" w:lineRule="auto"/>
              <w:rPr>
                <w:sz w:val="28"/>
                <w:szCs w:val="28"/>
              </w:rPr>
            </w:pPr>
            <w:r>
              <w:rPr>
                <w:sz w:val="28"/>
                <w:szCs w:val="28"/>
              </w:rPr>
              <w:t>ЗАТВЕРДЖЕНО</w:t>
            </w:r>
            <w:r>
              <w:rPr>
                <w:sz w:val="28"/>
                <w:szCs w:val="28"/>
              </w:rPr>
              <w:br/>
              <w:t>Наказ Міністерства розвитку громад та територій України</w:t>
            </w:r>
            <w:r>
              <w:rPr>
                <w:sz w:val="28"/>
                <w:szCs w:val="28"/>
              </w:rPr>
              <w:br/>
              <w:t xml:space="preserve">29 листопада 2022 року № 228 </w:t>
            </w:r>
            <w:r>
              <w:rPr>
                <w:sz w:val="28"/>
                <w:szCs w:val="28"/>
                <w:u w:val="single"/>
              </w:rPr>
              <w:t xml:space="preserve">  </w:t>
            </w:r>
            <w:r>
              <w:rPr>
                <w:sz w:val="28"/>
                <w:szCs w:val="28"/>
              </w:rPr>
              <w:t xml:space="preserve">      </w:t>
            </w:r>
          </w:p>
        </w:tc>
      </w:tr>
    </w:tbl>
    <w:p w:rsidR="00984900" w:rsidRDefault="00984900"/>
    <w:p w:rsidR="00984900" w:rsidRDefault="002748F3">
      <w:pPr>
        <w:spacing w:line="240" w:lineRule="auto"/>
        <w:jc w:val="center"/>
      </w:pPr>
      <w:r>
        <w:rPr>
          <w:b/>
          <w:sz w:val="28"/>
          <w:szCs w:val="28"/>
        </w:rPr>
        <w:t xml:space="preserve">Порядок </w:t>
      </w:r>
      <w:r>
        <w:rPr>
          <w:b/>
          <w:sz w:val="28"/>
          <w:szCs w:val="28"/>
        </w:rPr>
        <w:br/>
        <w:t>відбору Кінцевих Бенефіціарів Проекту «Енергоефективність громадських будівель в Україні»</w:t>
      </w:r>
    </w:p>
    <w:p w:rsidR="00984900" w:rsidRDefault="00984900">
      <w:pPr>
        <w:spacing w:line="240" w:lineRule="auto"/>
        <w:jc w:val="center"/>
      </w:pPr>
    </w:p>
    <w:p w:rsidR="00984900" w:rsidRDefault="002748F3">
      <w:pPr>
        <w:pStyle w:val="1"/>
        <w:spacing w:before="0" w:after="0"/>
        <w:ind w:firstLine="709"/>
        <w:jc w:val="both"/>
        <w:rPr>
          <w:b w:val="0"/>
          <w:sz w:val="28"/>
          <w:szCs w:val="28"/>
        </w:rPr>
      </w:pPr>
      <w:r>
        <w:rPr>
          <w:b w:val="0"/>
          <w:sz w:val="28"/>
          <w:szCs w:val="28"/>
        </w:rPr>
        <w:t xml:space="preserve">1. Цей Порядок регулює механізм визначення Кінцевих Бенефіціарів Субпроектів, які можуть реалізовуватися за рахунок коштів Проекту «Енергоефективність громадських будівель в Україні» (далі – Програма), що фінансуються відповідно до Фінансової угоди (Проект «Енергоефективність громадських будівель в Україні») між Україною та Європейським інвестиційним банком, ратифікованої Законом України від </w:t>
      </w:r>
      <w:r>
        <w:rPr>
          <w:b w:val="0"/>
          <w:sz w:val="28"/>
          <w:szCs w:val="28"/>
        </w:rPr>
        <w:br/>
        <w:t>15 липня 2021 року № 1663-IX «Про ратифікацію Фінансової угоди (Проект «Енергоефективність громадських будівель в Україні») між Україною та Європейським інвестиційним банком» (далі – Фінансова угода).</w:t>
      </w:r>
    </w:p>
    <w:p w:rsidR="00984900" w:rsidRDefault="002748F3">
      <w:pPr>
        <w:pStyle w:val="1"/>
        <w:spacing w:before="0" w:after="0"/>
        <w:ind w:firstLine="709"/>
        <w:jc w:val="both"/>
        <w:rPr>
          <w:b w:val="0"/>
          <w:sz w:val="28"/>
          <w:szCs w:val="28"/>
        </w:rPr>
      </w:pPr>
      <w:r>
        <w:rPr>
          <w:b w:val="0"/>
          <w:sz w:val="28"/>
          <w:szCs w:val="28"/>
        </w:rPr>
        <w:t>У цьому Порядку терміни вживаються у значенні, наведеному в Законах України «Про енергетичну ефективність будівель», «Про енергетичну ефективність», інших нормативно-правових актів.</w:t>
      </w:r>
    </w:p>
    <w:p w:rsidR="00984900" w:rsidRDefault="00984900">
      <w:pPr>
        <w:pStyle w:val="1"/>
        <w:spacing w:before="0" w:after="0"/>
        <w:ind w:firstLine="709"/>
        <w:jc w:val="both"/>
        <w:rPr>
          <w:b w:val="0"/>
          <w:sz w:val="28"/>
          <w:szCs w:val="28"/>
        </w:rPr>
      </w:pPr>
    </w:p>
    <w:p w:rsidR="00984900" w:rsidRDefault="002748F3">
      <w:pPr>
        <w:pStyle w:val="1"/>
        <w:spacing w:before="0" w:after="0"/>
        <w:ind w:firstLine="709"/>
        <w:jc w:val="both"/>
        <w:rPr>
          <w:b w:val="0"/>
          <w:sz w:val="28"/>
          <w:szCs w:val="28"/>
        </w:rPr>
      </w:pPr>
      <w:r>
        <w:rPr>
          <w:b w:val="0"/>
          <w:sz w:val="28"/>
          <w:szCs w:val="28"/>
        </w:rPr>
        <w:t>2. Реалізацію Програми, а також управління та контроль за її реалізацією здійснює Міністерство розвитку громад та територій України через утворену ним Групу управління і підтримки Програми (далі – ГУПП), яка сформована з представників Мінрегіону. ГУПП залучає команду консультантів з підтримки реалізації Програми, представників Європейського інвестиційного банку та інших заінтересованих осіб під час своєї діяльності (за згодою).</w:t>
      </w:r>
    </w:p>
    <w:p w:rsidR="00984900" w:rsidRDefault="00984900">
      <w:pPr>
        <w:pStyle w:val="1"/>
        <w:spacing w:before="0" w:after="0"/>
        <w:ind w:firstLine="709"/>
        <w:jc w:val="both"/>
        <w:rPr>
          <w:b w:val="0"/>
          <w:sz w:val="28"/>
          <w:szCs w:val="28"/>
        </w:rPr>
      </w:pPr>
    </w:p>
    <w:p w:rsidR="00984900" w:rsidRDefault="002748F3">
      <w:pPr>
        <w:pStyle w:val="1"/>
        <w:spacing w:before="0" w:after="0"/>
        <w:ind w:firstLine="709"/>
        <w:jc w:val="both"/>
        <w:rPr>
          <w:b w:val="0"/>
          <w:sz w:val="28"/>
          <w:szCs w:val="28"/>
        </w:rPr>
      </w:pPr>
      <w:r>
        <w:rPr>
          <w:b w:val="0"/>
          <w:sz w:val="28"/>
          <w:szCs w:val="28"/>
        </w:rPr>
        <w:t>3. Відповідно до Фінансової угоди кошти позики виділяються на виконання Субпроектів з капітального ремонту, реконструкції громадських будівель, що мають на меті підвищення рівня їхньої енергетичної ефективності (далі – проекти термомодернізації), відповідають цьому Порядку та критеріям відповідності, зазначеним у додатку А.1 Фінансової угоди.</w:t>
      </w:r>
    </w:p>
    <w:p w:rsidR="00984900" w:rsidRDefault="002748F3">
      <w:pPr>
        <w:pStyle w:val="1"/>
        <w:spacing w:before="0" w:after="0"/>
        <w:ind w:firstLine="709"/>
        <w:jc w:val="both"/>
        <w:rPr>
          <w:b w:val="0"/>
          <w:sz w:val="28"/>
          <w:szCs w:val="28"/>
        </w:rPr>
      </w:pPr>
      <w:r>
        <w:rPr>
          <w:b w:val="0"/>
          <w:sz w:val="28"/>
          <w:szCs w:val="28"/>
        </w:rPr>
        <w:t xml:space="preserve">На додаток до проектів термомодернізації, Програма передбачає, у тому числі, фінансування будівельних робіт (включаючи роботи з ремонту </w:t>
      </w:r>
      <w:r>
        <w:rPr>
          <w:b w:val="0"/>
          <w:sz w:val="28"/>
          <w:szCs w:val="28"/>
        </w:rPr>
        <w:lastRenderedPageBreak/>
        <w:t xml:space="preserve">пошкоджень, отриманих внаслідок військової агресії Російської Федерації) у громадських будівлях, у тому числі, з метою забезпечення відповідності потребам внутрішньо переміщених осіб (далі – ВПО) та приймаючих їх територіальних громад. </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Програма реалізується на умовах співфінансування. За рахунок місцевого бюджету сплачується податок на додану вартість та компенсуються інші необхідні витрати, які не покриваються коштами позики, а також, за потреби,  витрати потенційних Кінцевих Бенефіціарів на виготовлення та проведення експертизи проектної документації, проведення енергетичного аудиту будівель та виготовлення енергетичного сертифіката.</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Згідно з Фінансовою угодою, кошти надаватимуться у вигляді позики кожному Кінцевому Бенефіціару відповідно до договору позики (кредитного договору), укладеного між Міністерством фінансів України, Мінрегіоном та Кінцевими Бенефіціарами.</w:t>
      </w:r>
    </w:p>
    <w:p w:rsidR="00984900" w:rsidRDefault="009849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p>
    <w:p w:rsidR="00984900" w:rsidRDefault="002748F3">
      <w:pPr>
        <w:pStyle w:val="1"/>
        <w:spacing w:before="0" w:after="0"/>
        <w:ind w:firstLine="709"/>
        <w:jc w:val="both"/>
        <w:rPr>
          <w:b w:val="0"/>
          <w:sz w:val="28"/>
          <w:szCs w:val="28"/>
        </w:rPr>
      </w:pPr>
      <w:r>
        <w:rPr>
          <w:b w:val="0"/>
          <w:sz w:val="28"/>
          <w:szCs w:val="28"/>
        </w:rPr>
        <w:t>4. Участь у Програмі відповідно до цього Порядку можуть брати органи місцевого самоврядування.</w:t>
      </w:r>
    </w:p>
    <w:p w:rsidR="00984900" w:rsidRDefault="00984900">
      <w:pPr>
        <w:pStyle w:val="1"/>
        <w:spacing w:before="0" w:after="0"/>
        <w:ind w:firstLine="709"/>
        <w:jc w:val="both"/>
        <w:rPr>
          <w:b w:val="0"/>
          <w:sz w:val="28"/>
          <w:szCs w:val="28"/>
        </w:rPr>
      </w:pPr>
    </w:p>
    <w:p w:rsidR="00984900" w:rsidRDefault="002748F3">
      <w:pPr>
        <w:pStyle w:val="1"/>
        <w:spacing w:before="0" w:after="0"/>
        <w:ind w:firstLine="709"/>
        <w:jc w:val="both"/>
        <w:rPr>
          <w:b w:val="0"/>
          <w:sz w:val="28"/>
          <w:szCs w:val="28"/>
        </w:rPr>
      </w:pPr>
      <w:r>
        <w:rPr>
          <w:b w:val="0"/>
          <w:sz w:val="28"/>
          <w:szCs w:val="28"/>
        </w:rPr>
        <w:t>5. ГУПП спільно з командою консультантів з підтримки реалізації Програми здійснює відбір Кінцевих Бенефіціарів (далі – відбір).</w:t>
      </w:r>
    </w:p>
    <w:p w:rsidR="00984900" w:rsidRDefault="002748F3">
      <w:pPr>
        <w:pStyle w:val="1"/>
        <w:spacing w:before="0" w:after="0"/>
        <w:ind w:firstLine="709"/>
        <w:jc w:val="both"/>
        <w:rPr>
          <w:b w:val="0"/>
          <w:sz w:val="28"/>
          <w:szCs w:val="28"/>
        </w:rPr>
      </w:pPr>
      <w:r>
        <w:rPr>
          <w:b w:val="0"/>
          <w:sz w:val="28"/>
          <w:szCs w:val="28"/>
        </w:rPr>
        <w:t>Для проведення відбору Мінрегіон на своєму офіційному вебсайті оприлюднює оголошення про проведення відбору Кінцевих Бенефіціарів (далі – Оголошення).</w:t>
      </w:r>
    </w:p>
    <w:p w:rsidR="00984900" w:rsidRDefault="002748F3">
      <w:pPr>
        <w:pStyle w:val="1"/>
        <w:spacing w:before="0" w:after="0"/>
        <w:ind w:firstLine="709"/>
        <w:jc w:val="both"/>
        <w:rPr>
          <w:b w:val="0"/>
          <w:sz w:val="28"/>
          <w:szCs w:val="28"/>
        </w:rPr>
      </w:pPr>
      <w:r>
        <w:rPr>
          <w:b w:val="0"/>
          <w:sz w:val="28"/>
          <w:szCs w:val="28"/>
        </w:rPr>
        <w:t>В Оголошенні зазначаються:</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 xml:space="preserve">загальний опис Програми, її умови; </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Критерії прийнятності Кінцевих Бенефіціарів та Критерії оцінки проектів термомодернізації, наведені у додатку 1 до цього Порядку;</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 xml:space="preserve">строк подання документів для участі у відборі; </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адреси електронної пошти, номери телефонів, інших контактних даних, за якими можна отримати додаткові роз’яснення щодо участі у відборі.</w:t>
      </w:r>
    </w:p>
    <w:p w:rsidR="00984900" w:rsidRDefault="009849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p>
    <w:p w:rsidR="00984900" w:rsidRDefault="002748F3">
      <w:pPr>
        <w:pStyle w:val="1"/>
        <w:spacing w:before="0" w:after="0"/>
        <w:ind w:firstLine="709"/>
        <w:jc w:val="both"/>
        <w:rPr>
          <w:b w:val="0"/>
          <w:sz w:val="28"/>
          <w:szCs w:val="28"/>
        </w:rPr>
      </w:pPr>
      <w:r>
        <w:rPr>
          <w:b w:val="0"/>
          <w:sz w:val="28"/>
          <w:szCs w:val="28"/>
        </w:rPr>
        <w:t xml:space="preserve">6. ГУПП вживає заходів щодо поширення інформації про початок проведення відбору Кінцевих Бенефіціарів, у тому числі за допомогою офіційних сторінок Мінрегіону у соціальних мережах. </w:t>
      </w:r>
    </w:p>
    <w:p w:rsidR="00984900" w:rsidRDefault="00984900">
      <w:pPr>
        <w:pStyle w:val="1"/>
        <w:spacing w:before="0" w:after="0"/>
        <w:ind w:firstLine="709"/>
        <w:jc w:val="both"/>
        <w:rPr>
          <w:b w:val="0"/>
          <w:sz w:val="28"/>
          <w:szCs w:val="28"/>
        </w:rPr>
      </w:pP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lastRenderedPageBreak/>
        <w:t>7. Потенційний Кінцевий Бенефіціар для участі у відборі подає до ГУПП:</w:t>
      </w:r>
    </w:p>
    <w:p w:rsidR="00984900" w:rsidRDefault="002748F3">
      <w:pPr>
        <w:spacing w:after="0" w:line="240" w:lineRule="auto"/>
        <w:ind w:firstLine="709"/>
        <w:jc w:val="both"/>
        <w:rPr>
          <w:sz w:val="28"/>
          <w:szCs w:val="28"/>
        </w:rPr>
      </w:pPr>
      <w:r>
        <w:rPr>
          <w:sz w:val="28"/>
          <w:szCs w:val="28"/>
        </w:rPr>
        <w:t>1) заповнену Анкету на участь у Проекті «Енергоефективність громадських будівель в Україні» за формою, наведеною у додатку 2 до цього Порядку;</w:t>
      </w:r>
    </w:p>
    <w:p w:rsidR="00984900" w:rsidRDefault="002748F3">
      <w:pPr>
        <w:spacing w:after="0" w:line="240" w:lineRule="auto"/>
        <w:ind w:firstLine="709"/>
        <w:jc w:val="both"/>
        <w:rPr>
          <w:sz w:val="28"/>
          <w:szCs w:val="28"/>
        </w:rPr>
      </w:pPr>
      <w:r>
        <w:rPr>
          <w:sz w:val="28"/>
          <w:szCs w:val="28"/>
        </w:rPr>
        <w:t>2) зведену інформацію про проекти термомодернізації, які пропонується для реалізації, за формою, наведеною у додатку 3 до цього Порядку;</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 xml:space="preserve">3) завірену в установленому законодавством порядку копію рішення сільської, селищної, міської, районної, обласної ради про намір отримати позику за Програмою, яке повинно містити: мету запозичення, </w:t>
      </w:r>
      <w:bookmarkStart w:id="1" w:name="bookmark=id.30j0zll" w:colFirst="0" w:colLast="0"/>
      <w:bookmarkEnd w:id="1"/>
      <w:r>
        <w:rPr>
          <w:sz w:val="28"/>
          <w:szCs w:val="28"/>
        </w:rPr>
        <w:t>форму здійснення запозичення,</w:t>
      </w:r>
      <w:bookmarkStart w:id="2" w:name="bookmark=id.1fob9te" w:colFirst="0" w:colLast="0"/>
      <w:bookmarkEnd w:id="2"/>
      <w:r>
        <w:rPr>
          <w:sz w:val="28"/>
          <w:szCs w:val="28"/>
        </w:rPr>
        <w:t xml:space="preserve"> істотні умови запозичення – вид, розмір, валюта, строк, відсотки за користування запозиченням та строки їх сплати, а також розмір основної суми боргу</w:t>
      </w:r>
      <w:bookmarkStart w:id="3" w:name="bookmark=id.3znysh7" w:colFirst="0" w:colLast="0"/>
      <w:bookmarkEnd w:id="3"/>
      <w:r>
        <w:rPr>
          <w:sz w:val="28"/>
          <w:szCs w:val="28"/>
        </w:rPr>
        <w:t>, майнове або інше забезпечення виконання зобов’язань за запозиченням;</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4) звіт з енергетичного аудиту будівель та/або енергетичний сертифікат, виготовлені відповідно до  законодавства України;</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5) звіт за результатами обстеження, складений відповідно до Порядку проведення обстеження прийнятих в експлуатацію об’єктів будівництва, затвердженого постановою Кабінету Міністрів України від 12 квітня 2017 року № 257, Методики проведення обстеження та оформлення його результатів, затвердженої наказом Міністерства розвитку громад та територій України від 06 серпня 2022 року № 144 та зареєстрованої в Міністерстві юстиції України 09 серпня 2022 року за № 898/38234;</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 xml:space="preserve">6) документи, зазначені у пункті 6 Порядку здійснення місцевих запозичень, затвердженого постановою Кабінету Міністрів України </w:t>
      </w:r>
      <w:r>
        <w:rPr>
          <w:sz w:val="28"/>
          <w:szCs w:val="28"/>
        </w:rPr>
        <w:br/>
        <w:t>від 16 лютого 2011 року № 110;</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bookmarkStart w:id="4" w:name="_heading=h.2et92p0" w:colFirst="0" w:colLast="0"/>
      <w:bookmarkEnd w:id="4"/>
      <w:r>
        <w:rPr>
          <w:sz w:val="28"/>
          <w:szCs w:val="28"/>
        </w:rPr>
        <w:t>7) проектну документацію на проекти термомодернізації, затверджену відповідно до законодавства України (у разі готовності такої документації на дату подання заявки);</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8) гарантійний лист із інформацією, зазначеною у підпунктах 4.1 – 4.3 пункту 4, підпункті 4.6 пункту 4, підпункті 6.2 пункту 6 Критеріїв прийнятності Кінцевих Бенефіціарів (додаток 1);</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9) інформацію в довільній формі, зазначену у підпунктах 2.3 – 2.6 пункту 2, підпункті 3.2 пункту 3, підпунктах 4.4, 4,5 пункту 4, підпунктах 5.1, 5.2 пункту 5, підпункті 6.1 пункту 6, підпункті 7.1 пункту 7 Критеріїв прийнятності Кінцевих Бенефіціарів (додаток 1);</w:t>
      </w:r>
    </w:p>
    <w:p w:rsidR="00984900" w:rsidRDefault="00984900">
      <w:pPr>
        <w:spacing w:after="0" w:line="240" w:lineRule="auto"/>
        <w:ind w:firstLine="709"/>
        <w:jc w:val="both"/>
        <w:rPr>
          <w:sz w:val="28"/>
          <w:szCs w:val="28"/>
        </w:rPr>
      </w:pP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8. Документи, подані потенційним Кінцевим Бенефіціаром для участі у відборі, відхиляються ГУПП у разі:</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1) подання не органом місцевого самоврядування;</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 xml:space="preserve">2) якщо проект термомодернізації не передбачає досягнення будівлею Мінімальних вимог до енергетичної ефективності будівель, затверджених наказом Міністерства розвитку громад та територій України від 27 жовтня 2020 року № 260, зареєстрованих в Міністерстві юстиції України 18 грудня 2020 року </w:t>
      </w:r>
      <w:r>
        <w:rPr>
          <w:sz w:val="28"/>
          <w:szCs w:val="28"/>
        </w:rPr>
        <w:lastRenderedPageBreak/>
        <w:t>за № 1257/35540, та встановлених статтею 4 Директиви про енергетичну ефективність будівель № 2010/31/ЄС;</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3) календарний план реалізації проекту термомодернізації становить менше одного року та більше трьох років;</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4) не передбачається співфінансування проекту термомодернізації з місцевого бюджету (зокрема, в частині сплати податку на додану вартість та компенсації інших необхідних витрат, що не покриваються коштами позики);</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5) надходження після закінчення встановленого в Оголошенні строку;</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6) подання документів, оформлених неналежним чином, не в повному обсязі, а також таких, що містять недостовірну інформацію;</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 xml:space="preserve">7) потенційний Кінцевий Бенефіціар розташований в одному з районів, визначеному Мінреінтеграції у переліку територіальних громад, які розташовані в районі проведення воєнних (бойових) дій або які перебувають в тимчасовій окупації, оточенні (блокуванні). </w:t>
      </w:r>
    </w:p>
    <w:p w:rsidR="00984900" w:rsidRDefault="009849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9. У разі відхилення ГУПП документів, поданих потенційним Кінцевим Бенефіціаром, такий Кінцевий Бенефіціар має право повторно подати документи, зазначені у пункті 7 цього Порядку, після усунення причин, з яких такі документи було відхилено.</w:t>
      </w:r>
    </w:p>
    <w:p w:rsidR="00984900" w:rsidRDefault="009849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10. У процесі підготовки своїх заявок на участь у відборі потенційні Кінцеві Бенефіціари можуть надсилати запити до ГУПП та команди консультантів</w:t>
      </w:r>
      <w:r>
        <w:rPr>
          <w:b/>
          <w:sz w:val="28"/>
          <w:szCs w:val="28"/>
        </w:rPr>
        <w:t xml:space="preserve"> </w:t>
      </w:r>
      <w:r>
        <w:rPr>
          <w:sz w:val="28"/>
          <w:szCs w:val="28"/>
        </w:rPr>
        <w:t>з підтримки реалізації Програми</w:t>
      </w:r>
      <w:r>
        <w:rPr>
          <w:b/>
          <w:sz w:val="28"/>
          <w:szCs w:val="28"/>
        </w:rPr>
        <w:t xml:space="preserve"> </w:t>
      </w:r>
      <w:r>
        <w:rPr>
          <w:sz w:val="28"/>
          <w:szCs w:val="28"/>
        </w:rPr>
        <w:t xml:space="preserve">щодо надання роз’яснення. </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Запити щодо надання роз'яснення потенційні Кінцеві Бенефіціари можуть надсилати на адресу електронної пошти, зазначену в Оголошенні. Відповіді на запити надаються на електронну пошту відповідних потенційних Кінцевих Бенефіціарів, а також публікуються на офіційному вебсайті Мінрегіону (без зазначення джерела запитання).</w:t>
      </w:r>
    </w:p>
    <w:p w:rsidR="00984900" w:rsidRDefault="009849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11. Після закінчення строку подання заявок на участь у відборі ГУПП спільно з командою консультантів з підтримки реалізації Програми розглядає отримані заявки не більше 60 днів та оцінює кожен проект термомодернізації відповідно до Критеріїв оцінки проектів термомодернізації, визначених додатком 1 до цього Порядку, а також подані документи щодо наявності підстав для їх відхилення, передбачених пунктом 8 цього Порядку.</w:t>
      </w:r>
    </w:p>
    <w:p w:rsidR="00984900" w:rsidRDefault="009849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12. За результатами розгляду документів та оцінки проектів термомодернізації ГУПП:</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 xml:space="preserve">1) протокольно формує перелік потенційних Кінцевих Бенефіціарів та їх проектів термомодернізації, щодо яких наявна затверджена проектна документація, та забезпечує його оприлюднення на офіційному вебсайті Мінрегіону. Перелік таких потенційних Кінцевих Бенефіціарів та копії їх документів, передбачені пунктом 7 цього Порядку, направляються до </w:t>
      </w:r>
      <w:r>
        <w:rPr>
          <w:sz w:val="28"/>
          <w:szCs w:val="28"/>
        </w:rPr>
        <w:lastRenderedPageBreak/>
        <w:t>Міністерства фінансів України для проведення оцінки фінансового стану потенційного Кінцевого Бенефіціара;</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2) протокольно формує перелік попередньо відібраних потенційних Кінцевих Бенефіціарів та їх проектів термомодернізації, щодо яких немає проектної документації (при необхідності її розроблення відповідно до вимог законодавства), та забезпечує його оприлюднення на офіційному вебсайті Мінрегіону. Такі попередньо відібрані потенційні Кінцеві Бенефіціари розробляють проектну документацію проекту термомодернізації.</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Після розроблення та затвердження проектної документації потенційні Кінцеві Бенефіціари направляють її на розгляд ГУПП. ГУПП проводить оцінку проекту термомодернізації та, у разі відсутності підстав для відхилення, передбачених пунктом 8 цього Порядку, направляє інформацію про потенційних Кінцевих Бенефіціарів та копії документів, передбачені пунктом 7 цього Порядку, для проведення Міністерством фінансів України оцінки фінансового стану потенційного Кінцевих Бенефіціарів.</w:t>
      </w:r>
    </w:p>
    <w:p w:rsidR="00984900" w:rsidRDefault="009849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p>
    <w:p w:rsidR="00984900" w:rsidRDefault="002748F3">
      <w:pPr>
        <w:pBdr>
          <w:top w:val="nil"/>
          <w:left w:val="nil"/>
          <w:bottom w:val="nil"/>
          <w:right w:val="nil"/>
          <w:between w:val="nil"/>
        </w:pBdr>
        <w:spacing w:after="0" w:line="240" w:lineRule="auto"/>
        <w:ind w:firstLine="708"/>
        <w:jc w:val="both"/>
        <w:rPr>
          <w:color w:val="000000"/>
          <w:sz w:val="28"/>
          <w:szCs w:val="28"/>
        </w:rPr>
      </w:pPr>
      <w:r>
        <w:rPr>
          <w:color w:val="000000"/>
          <w:sz w:val="28"/>
          <w:szCs w:val="28"/>
        </w:rPr>
        <w:t xml:space="preserve">13. Міністерство фінансів України проводить оцінку фінансового стану потенційних Кінцевих Бенефіціарів відповідно до Порядку проведення оцінки фінансового стану потенційного бенефіціара інвестиційного проекту, реалізація якого передбачається на умовах фінансової самоокупності, а також визначення виду забезпечення для обслуговування та погашення позики, наданої за рахунок коштів міжнародних фінансових організацій, обслуговування якої здійснюватиметься за рахунок коштів бенефіціара, затвердженого наказом Міністерства фінансів України від 14 липня 2016 року № 616, зареєстрованого в Міністерстві юстиції України 05 серпня 2016 року за № 1095/29225, та інформує потенційного Кінцевого Бенефіціара та Мінрегіон про результати такої оцінки. </w:t>
      </w:r>
    </w:p>
    <w:p w:rsidR="00984900" w:rsidRDefault="00984900">
      <w:pPr>
        <w:pBdr>
          <w:top w:val="nil"/>
          <w:left w:val="nil"/>
          <w:bottom w:val="nil"/>
          <w:right w:val="nil"/>
          <w:between w:val="nil"/>
        </w:pBdr>
        <w:spacing w:after="0" w:line="240" w:lineRule="auto"/>
        <w:ind w:firstLine="708"/>
        <w:jc w:val="both"/>
        <w:rPr>
          <w:color w:val="000000"/>
          <w:sz w:val="28"/>
          <w:szCs w:val="28"/>
        </w:rPr>
      </w:pP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14. Після проведення Міністерством фінансів України оцінки фінансового стану потенційних Кінцевих Бенефіціарів ГУПП протокольно формує список відібраних Кінцевих Бенефіціарів.</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Список відібраних Кінцевих Бенефіціарів затверджується наказом Мінрегіону.</w:t>
      </w: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Інформація про відібраних Кінцевих Бенефіціарів із проектами термомодернізації (разом із затвердженою проектною документацією) публікується на офіційному вебсайті Мінрегіону.</w:t>
      </w:r>
    </w:p>
    <w:p w:rsidR="00984900" w:rsidRDefault="009849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p>
    <w:p w:rsidR="00984900" w:rsidRDefault="002748F3">
      <w:pPr>
        <w:pBdr>
          <w:top w:val="nil"/>
          <w:left w:val="nil"/>
          <w:bottom w:val="nil"/>
          <w:right w:val="nil"/>
          <w:between w:val="nil"/>
        </w:pBdr>
        <w:spacing w:after="0" w:line="240" w:lineRule="auto"/>
        <w:ind w:firstLine="708"/>
        <w:jc w:val="both"/>
        <w:rPr>
          <w:color w:val="000000"/>
          <w:sz w:val="28"/>
          <w:szCs w:val="28"/>
        </w:rPr>
      </w:pPr>
      <w:r>
        <w:rPr>
          <w:color w:val="000000"/>
          <w:sz w:val="28"/>
          <w:szCs w:val="28"/>
        </w:rPr>
        <w:t>15. Потенційні Кінцеві Бенефіціари, яким Міністерством фінансів України надано висновок щодо оцінки фінансового стану потенційного Кінцевого Бенефіціара та рівня фінансової самоокупності проектів, укладають договір позики (кредитний договір) з Міністерством фінансів України та Мінрегіоном.</w:t>
      </w:r>
    </w:p>
    <w:p w:rsidR="00984900" w:rsidRDefault="002748F3">
      <w:pPr>
        <w:pBdr>
          <w:top w:val="nil"/>
          <w:left w:val="nil"/>
          <w:bottom w:val="nil"/>
          <w:right w:val="nil"/>
          <w:between w:val="nil"/>
        </w:pBdr>
        <w:spacing w:after="0" w:line="240" w:lineRule="auto"/>
        <w:ind w:firstLine="708"/>
        <w:jc w:val="both"/>
        <w:rPr>
          <w:color w:val="000000"/>
          <w:sz w:val="28"/>
          <w:szCs w:val="28"/>
        </w:rPr>
      </w:pPr>
      <w:r>
        <w:rPr>
          <w:color w:val="000000"/>
          <w:sz w:val="28"/>
          <w:szCs w:val="28"/>
        </w:rPr>
        <w:t>Договір позики (кредитний договір) не укладається, якщо Міністерством фінансів України надано висновок</w:t>
      </w:r>
      <w:r>
        <w:rPr>
          <w:color w:val="000000"/>
        </w:rPr>
        <w:t xml:space="preserve"> </w:t>
      </w:r>
      <w:r>
        <w:rPr>
          <w:color w:val="000000"/>
          <w:sz w:val="28"/>
          <w:szCs w:val="28"/>
        </w:rPr>
        <w:t xml:space="preserve">про фінансову неспроможність потенційного </w:t>
      </w:r>
      <w:r>
        <w:rPr>
          <w:color w:val="000000"/>
          <w:sz w:val="28"/>
          <w:szCs w:val="28"/>
        </w:rPr>
        <w:lastRenderedPageBreak/>
        <w:t>Кінцевого Бенефіціара, а також якщо потенційний Кінцевий Бенефіціар розташований в одному з районів, визначеному Мінреінтеграції у переліку територіальних громад, які розташовані в районі проведення воєнних (бойових) дій або які перебувають в тимчасовій окупації, оточенні (блокуванні).</w:t>
      </w:r>
    </w:p>
    <w:p w:rsidR="00984900" w:rsidRDefault="00984900">
      <w:pPr>
        <w:pBdr>
          <w:top w:val="nil"/>
          <w:left w:val="nil"/>
          <w:bottom w:val="nil"/>
          <w:right w:val="nil"/>
          <w:between w:val="nil"/>
        </w:pBdr>
        <w:spacing w:after="0" w:line="240" w:lineRule="auto"/>
        <w:ind w:firstLine="708"/>
        <w:jc w:val="both"/>
        <w:rPr>
          <w:color w:val="000000"/>
          <w:sz w:val="28"/>
          <w:szCs w:val="28"/>
        </w:rPr>
      </w:pPr>
    </w:p>
    <w:p w:rsidR="00984900" w:rsidRDefault="0027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16. Закупівля товарів, робіт і послуг, необхідних для реалізації проектів термомодернізації, відібраних згідно з цим Порядком, здійснюватиметься відповідно Закону України «Про публічні закупівлі» та пункту 6.4 статті 6 Фінансової угоди.</w:t>
      </w:r>
    </w:p>
    <w:p w:rsidR="00984900" w:rsidRDefault="009849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pPr>
    </w:p>
    <w:tbl>
      <w:tblPr>
        <w:tblStyle w:val="afd"/>
        <w:tblW w:w="94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761"/>
        <w:gridCol w:w="4735"/>
      </w:tblGrid>
      <w:tr w:rsidR="00984900">
        <w:tc>
          <w:tcPr>
            <w:tcW w:w="4761" w:type="dxa"/>
          </w:tcPr>
          <w:p w:rsidR="00984900" w:rsidRDefault="00274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
                <w:sz w:val="28"/>
                <w:szCs w:val="28"/>
              </w:rPr>
              <w:t>Генеральний директор</w:t>
            </w:r>
          </w:p>
          <w:p w:rsidR="00984900" w:rsidRDefault="00274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
                <w:sz w:val="28"/>
                <w:szCs w:val="28"/>
              </w:rPr>
              <w:t>Директорату енергоефективності</w:t>
            </w:r>
          </w:p>
        </w:tc>
        <w:tc>
          <w:tcPr>
            <w:tcW w:w="4735" w:type="dxa"/>
          </w:tcPr>
          <w:p w:rsidR="00984900" w:rsidRDefault="00274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8"/>
                <w:szCs w:val="28"/>
              </w:rPr>
            </w:pPr>
            <w:r>
              <w:rPr>
                <w:b/>
                <w:sz w:val="28"/>
                <w:szCs w:val="28"/>
              </w:rPr>
              <w:t>Дмитро ПЕТРУНІН</w:t>
            </w:r>
          </w:p>
        </w:tc>
      </w:tr>
    </w:tbl>
    <w:p w:rsidR="00984900" w:rsidRDefault="009849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4472C4"/>
          <w:sz w:val="28"/>
          <w:szCs w:val="28"/>
        </w:rPr>
      </w:pPr>
    </w:p>
    <w:sectPr w:rsidR="00984900">
      <w:headerReference w:type="default" r:id="rId7"/>
      <w:pgSz w:w="11906" w:h="16838"/>
      <w:pgMar w:top="1135" w:right="850" w:bottom="1276"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8F3" w:rsidRDefault="002748F3">
      <w:pPr>
        <w:spacing w:after="0" w:line="240" w:lineRule="auto"/>
      </w:pPr>
      <w:r>
        <w:separator/>
      </w:r>
    </w:p>
  </w:endnote>
  <w:endnote w:type="continuationSeparator" w:id="0">
    <w:p w:rsidR="002748F3" w:rsidRDefault="00274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8F3" w:rsidRDefault="002748F3">
      <w:pPr>
        <w:spacing w:after="0" w:line="240" w:lineRule="auto"/>
      </w:pPr>
      <w:r>
        <w:separator/>
      </w:r>
    </w:p>
  </w:footnote>
  <w:footnote w:type="continuationSeparator" w:id="0">
    <w:p w:rsidR="002748F3" w:rsidRDefault="00274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900" w:rsidRDefault="002748F3">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C71ED">
      <w:rPr>
        <w:noProof/>
        <w:color w:val="000000"/>
      </w:rPr>
      <w:t>6</w:t>
    </w:r>
    <w:r>
      <w:rPr>
        <w:color w:val="000000"/>
      </w:rPr>
      <w:fldChar w:fldCharType="end"/>
    </w:r>
  </w:p>
  <w:p w:rsidR="00984900" w:rsidRDefault="00984900">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900"/>
    <w:rsid w:val="000C71ED"/>
    <w:rsid w:val="002748F3"/>
    <w:rsid w:val="0080126C"/>
    <w:rsid w:val="009849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83755B-6123-40D4-9D41-00FDCDAD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C0BAE"/>
    <w:pPr>
      <w:spacing w:before="100" w:beforeAutospacing="1" w:after="100" w:afterAutospacing="1" w:line="240" w:lineRule="auto"/>
      <w:outlineLvl w:val="0"/>
    </w:pPr>
    <w:rPr>
      <w:b/>
      <w:bCs/>
      <w:kern w:val="36"/>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rvps14">
    <w:name w:val="rvps14"/>
    <w:basedOn w:val="a"/>
    <w:rsid w:val="000F6FA0"/>
    <w:pPr>
      <w:spacing w:before="100" w:beforeAutospacing="1" w:after="100" w:afterAutospacing="1" w:line="240" w:lineRule="auto"/>
    </w:pPr>
  </w:style>
  <w:style w:type="character" w:customStyle="1" w:styleId="rvts9">
    <w:name w:val="rvts9"/>
    <w:basedOn w:val="a0"/>
    <w:rsid w:val="000F6FA0"/>
  </w:style>
  <w:style w:type="paragraph" w:styleId="a4">
    <w:name w:val="List Paragraph"/>
    <w:aliases w:val="Llista Nivell1,Lista de nivel 1,Paragraphe de liste PBLH,Bullet Points,Liste Paragraf,Colorful List - Accent 11,Table of contents numbered,Bullet OFM,Renkli Liste - Vurgu 11,Liste Paragraf1,List Paragraph in table,References,1 Текст,Ha"/>
    <w:basedOn w:val="a"/>
    <w:link w:val="a5"/>
    <w:uiPriority w:val="34"/>
    <w:qFormat/>
    <w:rsid w:val="00967E40"/>
    <w:pPr>
      <w:ind w:left="720"/>
      <w:contextualSpacing/>
    </w:pPr>
    <w:rPr>
      <w:rFonts w:asciiTheme="minorHAnsi" w:hAnsiTheme="minorHAnsi" w:cstheme="minorBidi"/>
      <w:sz w:val="22"/>
      <w:lang w:val="en-US"/>
    </w:rPr>
  </w:style>
  <w:style w:type="character" w:customStyle="1" w:styleId="10">
    <w:name w:val="Заголовок 1 Знак"/>
    <w:basedOn w:val="a0"/>
    <w:link w:val="1"/>
    <w:uiPriority w:val="9"/>
    <w:rsid w:val="00FC0BAE"/>
    <w:rPr>
      <w:rFonts w:eastAsia="Times New Roman" w:cs="Times New Roman"/>
      <w:b/>
      <w:bCs/>
      <w:kern w:val="36"/>
      <w:sz w:val="48"/>
      <w:szCs w:val="48"/>
      <w:lang w:eastAsia="uk-UA"/>
    </w:rPr>
  </w:style>
  <w:style w:type="character" w:customStyle="1" w:styleId="rvts23">
    <w:name w:val="rvts23"/>
    <w:basedOn w:val="a0"/>
    <w:rsid w:val="00F77989"/>
  </w:style>
  <w:style w:type="character" w:styleId="a6">
    <w:name w:val="footnote reference"/>
    <w:aliases w:val="BVI fnr,16 Point,Superscript 6 Point,ftref,Footnote Reference Char Char Char,Carattere Char Carattere Carattere Char Carattere Char Carattere Char Char Char1 Char,Carattere Carattere Char Char Char Carattere Char"/>
    <w:basedOn w:val="a0"/>
    <w:uiPriority w:val="99"/>
    <w:unhideWhenUsed/>
    <w:rsid w:val="00F4681D"/>
    <w:rPr>
      <w:vertAlign w:val="superscript"/>
    </w:rPr>
  </w:style>
  <w:style w:type="paragraph" w:styleId="a7">
    <w:name w:val="footnote text"/>
    <w:aliases w:val="Fußnotentextf,Geneva 9,Font: Geneva 9,Boston 10,f,FOOTNOTES,fn,single space,footnote text,Footnote,Text,ft,Footnote Text Blue,Footnote Text Char Char Char,Footnote Text Char Char,Fußnote,Fußnotentextr,Fuﬂnotentextf,Char"/>
    <w:basedOn w:val="a"/>
    <w:link w:val="a8"/>
    <w:uiPriority w:val="99"/>
    <w:unhideWhenUsed/>
    <w:rsid w:val="00F4681D"/>
    <w:pPr>
      <w:spacing w:after="0" w:line="240" w:lineRule="auto"/>
    </w:pPr>
    <w:rPr>
      <w:rFonts w:asciiTheme="minorHAnsi" w:hAnsiTheme="minorHAnsi" w:cstheme="minorBidi"/>
      <w:sz w:val="20"/>
      <w:szCs w:val="20"/>
      <w:lang w:val="en-US"/>
    </w:rPr>
  </w:style>
  <w:style w:type="character" w:customStyle="1" w:styleId="a8">
    <w:name w:val="Текст виноски Знак"/>
    <w:aliases w:val="Fußnotentextf Знак,Geneva 9 Знак,Font: Geneva 9 Знак,Boston 10 Знак,f Знак,FOOTNOTES Знак,fn Знак,single space Знак,footnote text Знак,Footnote Знак,Text Знак,ft Знак,Footnote Text Blue Знак,Footnote Text Char Char Char Знак,Char Знак"/>
    <w:basedOn w:val="a0"/>
    <w:link w:val="a7"/>
    <w:uiPriority w:val="99"/>
    <w:rsid w:val="00F4681D"/>
    <w:rPr>
      <w:rFonts w:asciiTheme="minorHAnsi" w:hAnsiTheme="minorHAnsi" w:cstheme="minorBidi"/>
      <w:sz w:val="20"/>
      <w:szCs w:val="20"/>
      <w:lang w:val="en-US"/>
    </w:rPr>
  </w:style>
  <w:style w:type="character" w:styleId="a9">
    <w:name w:val="annotation reference"/>
    <w:basedOn w:val="a0"/>
    <w:uiPriority w:val="99"/>
    <w:semiHidden/>
    <w:unhideWhenUsed/>
    <w:rsid w:val="00C96C31"/>
    <w:rPr>
      <w:sz w:val="16"/>
      <w:szCs w:val="16"/>
    </w:rPr>
  </w:style>
  <w:style w:type="paragraph" w:styleId="aa">
    <w:name w:val="annotation text"/>
    <w:basedOn w:val="a"/>
    <w:link w:val="ab"/>
    <w:uiPriority w:val="99"/>
    <w:unhideWhenUsed/>
    <w:rsid w:val="00C96C31"/>
    <w:pPr>
      <w:spacing w:line="240" w:lineRule="auto"/>
    </w:pPr>
    <w:rPr>
      <w:sz w:val="20"/>
      <w:szCs w:val="20"/>
    </w:rPr>
  </w:style>
  <w:style w:type="character" w:customStyle="1" w:styleId="ab">
    <w:name w:val="Текст примітки Знак"/>
    <w:basedOn w:val="a0"/>
    <w:link w:val="aa"/>
    <w:uiPriority w:val="99"/>
    <w:rsid w:val="00C96C31"/>
    <w:rPr>
      <w:sz w:val="20"/>
      <w:szCs w:val="20"/>
    </w:rPr>
  </w:style>
  <w:style w:type="paragraph" w:styleId="ac">
    <w:name w:val="annotation subject"/>
    <w:basedOn w:val="aa"/>
    <w:next w:val="aa"/>
    <w:link w:val="ad"/>
    <w:uiPriority w:val="99"/>
    <w:semiHidden/>
    <w:unhideWhenUsed/>
    <w:rsid w:val="00C96C31"/>
    <w:rPr>
      <w:b/>
      <w:bCs/>
    </w:rPr>
  </w:style>
  <w:style w:type="character" w:customStyle="1" w:styleId="ad">
    <w:name w:val="Тема примітки Знак"/>
    <w:basedOn w:val="ab"/>
    <w:link w:val="ac"/>
    <w:uiPriority w:val="99"/>
    <w:semiHidden/>
    <w:rsid w:val="00C96C31"/>
    <w:rPr>
      <w:b/>
      <w:bCs/>
      <w:sz w:val="20"/>
      <w:szCs w:val="20"/>
    </w:rPr>
  </w:style>
  <w:style w:type="paragraph" w:styleId="ae">
    <w:name w:val="Balloon Text"/>
    <w:basedOn w:val="a"/>
    <w:link w:val="af"/>
    <w:uiPriority w:val="99"/>
    <w:semiHidden/>
    <w:unhideWhenUsed/>
    <w:rsid w:val="00C96C31"/>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C96C31"/>
    <w:rPr>
      <w:rFonts w:ascii="Segoe UI" w:hAnsi="Segoe UI" w:cs="Segoe UI"/>
      <w:sz w:val="18"/>
      <w:szCs w:val="18"/>
    </w:rPr>
  </w:style>
  <w:style w:type="paragraph" w:customStyle="1" w:styleId="Default">
    <w:name w:val="Default"/>
    <w:rsid w:val="000529EF"/>
    <w:pPr>
      <w:autoSpaceDE w:val="0"/>
      <w:autoSpaceDN w:val="0"/>
      <w:adjustRightInd w:val="0"/>
      <w:spacing w:after="0" w:line="240" w:lineRule="auto"/>
    </w:pPr>
    <w:rPr>
      <w:color w:val="000000"/>
    </w:rPr>
  </w:style>
  <w:style w:type="paragraph" w:styleId="af0">
    <w:name w:val="header"/>
    <w:basedOn w:val="a"/>
    <w:link w:val="af1"/>
    <w:uiPriority w:val="99"/>
    <w:unhideWhenUsed/>
    <w:rsid w:val="0032470B"/>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32470B"/>
  </w:style>
  <w:style w:type="paragraph" w:styleId="af2">
    <w:name w:val="footer"/>
    <w:basedOn w:val="a"/>
    <w:link w:val="af3"/>
    <w:uiPriority w:val="99"/>
    <w:unhideWhenUsed/>
    <w:rsid w:val="0032470B"/>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32470B"/>
  </w:style>
  <w:style w:type="paragraph" w:styleId="af4">
    <w:name w:val="Revision"/>
    <w:hidden/>
    <w:uiPriority w:val="99"/>
    <w:semiHidden/>
    <w:rsid w:val="009D3CCC"/>
    <w:pPr>
      <w:spacing w:after="0" w:line="240" w:lineRule="auto"/>
    </w:pPr>
  </w:style>
  <w:style w:type="table" w:styleId="af5">
    <w:name w:val="Table Grid"/>
    <w:basedOn w:val="a1"/>
    <w:uiPriority w:val="39"/>
    <w:rsid w:val="00634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iPriority w:val="99"/>
    <w:unhideWhenUsed/>
    <w:rsid w:val="00085318"/>
    <w:pPr>
      <w:spacing w:before="100" w:beforeAutospacing="1" w:after="100" w:afterAutospacing="1" w:line="240" w:lineRule="auto"/>
    </w:pPr>
  </w:style>
  <w:style w:type="character" w:customStyle="1" w:styleId="a5">
    <w:name w:val="Абзац списку Знак"/>
    <w:aliases w:val="Llista Nivell1 Знак,Lista de nivel 1 Знак,Paragraphe de liste PBLH Знак,Bullet Points Знак,Liste Paragraf Знак,Colorful List - Accent 11 Знак,Table of contents numbered Знак,Bullet OFM Знак,Renkli Liste - Vurgu 11 Знак,References Знак"/>
    <w:basedOn w:val="a0"/>
    <w:link w:val="a4"/>
    <w:uiPriority w:val="34"/>
    <w:qFormat/>
    <w:rsid w:val="00A64DF6"/>
    <w:rPr>
      <w:rFonts w:asciiTheme="minorHAnsi" w:hAnsiTheme="minorHAnsi" w:cstheme="minorBidi"/>
      <w:sz w:val="22"/>
      <w:lang w:val="en-US"/>
    </w:rPr>
  </w:style>
  <w:style w:type="character" w:styleId="af7">
    <w:name w:val="Hyperlink"/>
    <w:uiPriority w:val="99"/>
    <w:rsid w:val="008C1184"/>
    <w:rPr>
      <w:color w:val="0000FF"/>
      <w:u w:val="single"/>
    </w:rPr>
  </w:style>
  <w:style w:type="character" w:customStyle="1" w:styleId="11">
    <w:name w:val="Незакрита згадка1"/>
    <w:basedOn w:val="a0"/>
    <w:uiPriority w:val="99"/>
    <w:semiHidden/>
    <w:unhideWhenUsed/>
    <w:rsid w:val="00237551"/>
    <w:rPr>
      <w:color w:val="605E5C"/>
      <w:shd w:val="clear" w:color="auto" w:fill="E1DFDD"/>
    </w:rPr>
  </w:style>
  <w:style w:type="paragraph" w:customStyle="1" w:styleId="rvps2">
    <w:name w:val="rvps2"/>
    <w:basedOn w:val="a"/>
    <w:rsid w:val="00723A81"/>
    <w:pPr>
      <w:spacing w:before="100" w:beforeAutospacing="1" w:after="100" w:afterAutospacing="1" w:line="240" w:lineRule="auto"/>
    </w:pPr>
  </w:style>
  <w:style w:type="paragraph" w:styleId="HTML">
    <w:name w:val="HTML Preformatted"/>
    <w:basedOn w:val="a"/>
    <w:link w:val="HTML0"/>
    <w:uiPriority w:val="99"/>
    <w:semiHidden/>
    <w:unhideWhenUsed/>
    <w:rsid w:val="00BB1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basedOn w:val="a0"/>
    <w:link w:val="HTML"/>
    <w:uiPriority w:val="99"/>
    <w:semiHidden/>
    <w:rsid w:val="00BB1BE7"/>
    <w:rPr>
      <w:rFonts w:ascii="Courier New" w:eastAsia="Times New Roman" w:hAnsi="Courier New" w:cs="Courier New"/>
      <w:sz w:val="20"/>
      <w:szCs w:val="20"/>
      <w:lang w:eastAsia="uk-UA"/>
    </w:rPr>
  </w:style>
  <w:style w:type="character" w:styleId="af8">
    <w:name w:val="Emphasis"/>
    <w:basedOn w:val="a0"/>
    <w:uiPriority w:val="20"/>
    <w:qFormat/>
    <w:rsid w:val="00BB1BE7"/>
    <w:rPr>
      <w:i/>
      <w:iCs/>
    </w:rPr>
  </w:style>
  <w:style w:type="paragraph" w:styleId="af9">
    <w:name w:val="No Spacing"/>
    <w:uiPriority w:val="1"/>
    <w:qFormat/>
    <w:rsid w:val="002A5190"/>
    <w:pPr>
      <w:spacing w:after="0" w:line="240" w:lineRule="auto"/>
    </w:pPr>
  </w:style>
  <w:style w:type="character" w:styleId="afa">
    <w:name w:val="FollowedHyperlink"/>
    <w:basedOn w:val="a0"/>
    <w:uiPriority w:val="99"/>
    <w:semiHidden/>
    <w:unhideWhenUsed/>
    <w:rsid w:val="00C957FC"/>
    <w:rPr>
      <w:color w:val="954F72" w:themeColor="followedHyperlink"/>
      <w:u w:val="single"/>
    </w:rPr>
  </w:style>
  <w:style w:type="paragraph" w:styleId="afb">
    <w:name w:val="Subtitle"/>
    <w:basedOn w:val="a"/>
    <w:next w:val="a"/>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fawpJL/HbmJOKStsYNUpX1fWlw==">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7657</Words>
  <Characters>4365</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Лисий Іван Миколайович</dc:creator>
  <cp:lastModifiedBy>Олейнікова Вікторія Анатоліївна</cp:lastModifiedBy>
  <cp:revision>2</cp:revision>
  <dcterms:created xsi:type="dcterms:W3CDTF">2024-09-16T11:26:00Z</dcterms:created>
  <dcterms:modified xsi:type="dcterms:W3CDTF">2024-09-16T11:26:00Z</dcterms:modified>
</cp:coreProperties>
</file>